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2017 года № 132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внесении изменений в некоторые законодательные акты Кыргызской Республики (по вопросам прав и защиты лиц с инвалидностью)"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j8prrctzdumcewbd_eb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dhb88nqgbh-zdkv38hi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изменений в некоторые законодательные акты Кыргызской Республики (по вопросам прав и защиты лиц с инвалидностью)", инициированный депутатами Жогорку Кенеша Кыргызской Республики Бекешевым Д.Д., Иманалиевым К.К., Сурабалдиевой Э.Ж., Шер-Ниязом С., Акаевым Ж.К.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на проект Закона Кыргызской Республики "О внесении изменений в некоторые законодательные акты Кыргызской Республики (по вопросам прав и защиты лиц с инвалидностью)"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рассмотрев проект Закона Кыргызской Республики "О внесении изменений в некоторые законодательные акты Кыргызской Республики (по вопросам прав и защиты лиц с инвалидностью)", инициированный депутатами Жогорку Кенеша Кыргызской Республики Бекешевым Д.Д., Иманалиевым К.К., Сурабалдиевой Э.Ж., Шер-Ниязом С., Акаевым Ж.К.,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Частью 1 статьи 4 проекта Закона предлагается </w:t>
      </w:r>
      <w:r>
        <w:rPr>
          <w:rFonts w:ascii="Arial" w:cs="Arial" w:eastAsia="Arial" w:hAnsi="Arial"/>
          <w:sz w:val="24"/>
          <w:szCs w:val="24"/>
        </w:rPr>
        <w:t xml:space="preserve">статью 2</w:t>
      </w:r>
      <w:r>
        <w:rPr>
          <w:rFonts w:ascii="Arial" w:cs="Arial" w:eastAsia="Arial" w:hAnsi="Arial"/>
          <w:sz w:val="24"/>
          <w:szCs w:val="24"/>
        </w:rPr>
        <w:t xml:space="preserve"> Гражданского процессуального кодекса Кыргызской Республики дополнить определением "факсимильная подпись (факсимиле)".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законопроектом предлагается в нормативные правовые акты, предусмотренные в данном законопроекте, внести соответствующие изменения об использовании лицами с ограниченными возможностями здоровья факсимильной подписи.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следует учесть, что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Гражданского процессуального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Административно-процессуального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судебных исполнителей и об исполнительном производстве" от 20 января 2017 года № 6 вышеуказанный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с 1 июля 2017 года утрачивает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следует отметить, что вопросы реализации гражданских прав лицами с ограниченными возможностями здоровья, в части оформления каких-либо сделок, достаточно регламентированы положениями Гражданского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а также </w:t>
      </w:r>
      <w:r>
        <w:rPr>
          <w:rFonts w:ascii="Arial" w:cs="Arial" w:eastAsia="Arial" w:hAnsi="Arial"/>
          <w:sz w:val="24"/>
          <w:szCs w:val="24"/>
        </w:rPr>
        <w:t xml:space="preserve">Инструкцией</w:t>
      </w:r>
      <w:r>
        <w:rPr>
          <w:rFonts w:ascii="Arial" w:cs="Arial" w:eastAsia="Arial" w:hAnsi="Arial"/>
          <w:sz w:val="24"/>
          <w:szCs w:val="24"/>
        </w:rPr>
        <w:t xml:space="preserve"> о порядке совершения нотариальных действий нотариусами Кыргызской Республики,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апреля 2011 года № 179.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Принимая во внимание нормы </w:t>
      </w:r>
      <w:r>
        <w:rPr>
          <w:rFonts w:ascii="Arial" w:cs="Arial" w:eastAsia="Arial" w:hAnsi="Arial"/>
          <w:sz w:val="24"/>
          <w:szCs w:val="24"/>
        </w:rPr>
        <w:t xml:space="preserve">статьи 5</w:t>
      </w:r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детях, статью 7 проекта Закона предлагаем пересмотреть.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Понятие "социальный работник", указанное в абзаце пятнадцатом части 1 статьи 9 законопроекта, предлагаем привести в соответствие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социального обслуживания населения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Частью 14 статьи 9 законопроекта предлагается установить, что специальные дошкольные образовательные организации, финансируемые из средств республиканского или муниципального бюджета, предназначены для воспитания только детей, имеющих инвалидность.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следует отметить, что основными задачами специальных дошкольных образовательных организаций являются выявление и ранняя коррекция личности ребенка с ограниченными возможностями здоровья через обучение, воспитание и лечение, а также подготовка к школе.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среди специальных дошкольных образовательных организаций имеется большое количество дошкольных образовательных организаций для детей с тяжелыми нарушениями речи. Данные нарушения не являются основанием для определения группы инвалидности, то есть инвалидность по этим диагнозам не устанавливается.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сообщаем, что методику на основе мимики и пантомимики, ребенок, в силу незрелости психофизических процессов, способен освоить при достижении возраста 7 лет, а не в дошкольном возрасте.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изложенного, абзацы четвертый и пятый части 14 статьи 9 законопроекта предлагаем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целях обеспечения единообразия терминологии в законодательстве, а также исключения неясностей в правоприменительной практике, по всему тексту законопроекта слова "инвалид", "лица с инвалидностью" в различных падежных формах предлагаем заменить словами "лицо с ограниченными возможностями здоровья" в соответствующих падежах.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Согласно пункту 78 </w:t>
      </w:r>
      <w:r>
        <w:rPr>
          <w:rFonts w:ascii="Arial" w:cs="Arial" w:eastAsia="Arial" w:hAnsi="Arial"/>
          <w:sz w:val="24"/>
          <w:szCs w:val="24"/>
        </w:rPr>
        <w:t xml:space="preserve">Инструкции</w:t>
      </w:r>
      <w:r>
        <w:rPr>
          <w:rFonts w:ascii="Arial" w:cs="Arial" w:eastAsia="Arial" w:hAnsi="Arial"/>
          <w:sz w:val="24"/>
          <w:szCs w:val="24"/>
        </w:rPr>
        <w:t xml:space="preserve"> по законодательной технике,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июня 2015 года № 5389-V, бланкетные ссылки на законодательство в целом не допускаются.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 часть 2 статьи 6, часть 5 статьи 9 законопроекта предлагаем пересмотреть.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Законопроект содержит ряд обобщенных неконкретных формулировок, таких как "при необходимости", "необходимых документов", "может быть", "в различных формах", которые способствуют появлению коррупционных проявлений в правоприменительной практике и, соответственно, предоставляют соответствующим субъектам дискреционные полномочия по своему усмотрению толковать ту или иную ситуацию.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 соответствующие положения законопроекта предлагаем пересмотреть.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Статьей 19 законопроекта Правительству Кыргызской Республики поручается привести свои нормативные правовые акты в соответствие с данным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отмечаем, что, в случае принятия данного законопроекта, Правительству потребуется время для приведения своих решений в соответствие с нормами принятого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часть 2 статьи 19 законопроекта после слов "Правительству Кыргызской Республики" предлагаем дополнить словами "в шестимесячный срок".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рассматриваемом законопроекте отражены вопросы регулирования предпринимательской деятельности, в связи с чем отмечаем необходимость проведения анализа регулятивного воздействия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19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Следует отметить, что в справке-обосновании к законопроекту указывается, что вопросы оплаты деятельности сурдопереводчиков и сурдопедагогов будут предусматриваться в подзаконных актах, а также в ежегодно утверждаемых законах о республиканском бюджете.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 вышеизложенного следует, что законопроект предполагает дополнительные финансовые расходы, покрываемые за счет республиканского бюджета. Вместе с тем, согласно </w:t>
      </w:r>
      <w:r>
        <w:rPr>
          <w:rFonts w:ascii="Arial" w:cs="Arial" w:eastAsia="Arial" w:hAnsi="Arial"/>
          <w:sz w:val="24"/>
          <w:szCs w:val="24"/>
        </w:rPr>
        <w:t xml:space="preserve">статье 26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Республики", нормативные правовые акты, реализация которых влечет финансирование из государственного бюджета, не подлежат принятию до определения по ним источника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следует учесть, что требуемые расходы на реализацию законопроекта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на 2017 год и прогнозе на 2018-2019 годы" не предусмотрены.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необходимо отметить, что рассматриваемый законопроект требует тщательной доработки в соответствии с требованиями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и </w:t>
      </w:r>
      <w:r>
        <w:rPr>
          <w:rFonts w:ascii="Arial" w:cs="Arial" w:eastAsia="Arial" w:hAnsi="Arial"/>
          <w:sz w:val="24"/>
          <w:szCs w:val="24"/>
        </w:rPr>
        <w:t xml:space="preserve">Инструкцией</w:t>
      </w:r>
      <w:r>
        <w:rPr>
          <w:rFonts w:ascii="Arial" w:cs="Arial" w:eastAsia="Arial" w:hAnsi="Arial"/>
          <w:sz w:val="24"/>
          <w:szCs w:val="24"/>
        </w:rPr>
        <w:t xml:space="preserve"> по законодательной технике,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июня 2015 года № 5389-V.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вышеизложенным Правительство Кыргызской Республики считает возможным принятие данного законопроекта с учетом замечаний и предложений, изложенных в настоящем заключении.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bhwfmjzppa-jrejggz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dalil.kg/document/98774</w:t>
      </w:r>
    </w:hyperlink>
  </w:p>
  <w:p>
    <w:pPr>
      <w:spacing w:after="0" w:before="40"/>
      <w:jc w:val="center"/>
    </w:pPr>
    <w:hyperlink w:history="1" r:id="rId9txcypta3f5do32st1l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8prrctzdumcewbd_ebwn" Type="http://schemas.openxmlformats.org/officeDocument/2006/relationships/hyperlink" Target="https://dalil.kg/document/203685" TargetMode="External"/><Relationship Id="rIddhb88nqgbh-zdkv38hiw0" Type="http://schemas.openxmlformats.org/officeDocument/2006/relationships/hyperlink" Target="https://dalil.kg/document/98774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bhwfmjzppa-jrejggzot" Type="http://schemas.openxmlformats.org/officeDocument/2006/relationships/hyperlink" Target="https://dalil.kg/document/98774" TargetMode="External"/><Relationship Id="rId9txcypta3f5do32st1lf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2026-10-04T03:19:53.518Z</dcterms:created>
  <dcterms:modified xsi:type="dcterms:W3CDTF">2026-10-04T03:19:53.518Z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