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6ahoexo4rjkuyynjways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13 июня 2017 года № 368</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14 июля 2016 года № 395</w:t>
      </w:r>
    </w:p>
    <w:p>
      <w:pPr>
        <w:spacing w:after="120"/>
        <w:jc w:val="both"/>
      </w:pPr>
      <w:r>
        <w:rPr>
          <w:rFonts w:ascii="Arial" w:cs="Arial" w:eastAsia="Arial" w:hAnsi="Arial"/>
          <w:sz w:val="24"/>
          <w:szCs w:val="24"/>
        </w:rPr>
        <w:t xml:space="preserve">О Прогнозе социально-экономического развития Кыргызской Республики на 2017 год и 2018-2019 годы</w:t>
      </w:r>
    </w:p>
    <w:p>
      <w:pPr>
        <w:spacing w:after="120"/>
        <w:jc w:val="both"/>
      </w:pPr>
      <w:r>
        <w:rPr>
          <w:rFonts w:ascii="Arial" w:cs="Arial" w:eastAsia="Arial" w:hAnsi="Arial"/>
          <w:sz w:val="24"/>
          <w:szCs w:val="24"/>
        </w:rPr>
        <w:t xml:space="preserve">В целях определения макроэкономических параметров развития на 2017 год и на 2018-2019 годы, в соответствии с Законом Кыргызской Республики "О государственном прогнозировании социально-экономического развития Кыргызской Республики", статьями 10 и 17 конституционного</w:t>
      </w:r>
      <w:hyperlink w:history="1" r:id="rIdqd3xm7yabhsc4jmvxe2ar">
        <w:r>
          <w:rPr>
            <w:rFonts w:ascii="Arial" w:cs="Arial" w:eastAsia="Arial" w:hAnsi="Arial"/>
            <w:color w:val="1D4ED8"/>
            <w:sz w:val="24"/>
            <w:szCs w:val="24"/>
            <w:u w:val="single"/>
          </w:rPr>
          <w:t xml:space="preserve">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9_2ereqtl12xwtv1d6cdh">
        <w:r>
          <w:rPr>
            <w:rFonts w:ascii="Arial" w:cs="Arial" w:eastAsia="Arial" w:hAnsi="Arial"/>
            <w:color w:val="1D4ED8"/>
            <w:sz w:val="24"/>
            <w:szCs w:val="24"/>
            <w:u w:val="single"/>
          </w:rPr>
          <w:t xml:space="preserve">Прогноз</w:t>
        </w:r>
      </w:hyperlink>
      <w:r>
        <w:rPr>
          <w:rFonts w:ascii="Arial" w:cs="Arial" w:eastAsia="Arial" w:hAnsi="Arial"/>
          <w:sz w:val="24"/>
          <w:szCs w:val="24"/>
        </w:rPr>
        <w:t xml:space="preserve"> социально-экономического развития Кыргызской Республики на 2017 год и 2018-2019 годы согласно приложению.</w:t>
      </w:r>
    </w:p>
    <w:p>
      <w:pPr>
        <w:spacing w:after="120"/>
        <w:jc w:val="both"/>
      </w:pPr>
      <w:r>
        <w:rPr>
          <w:rFonts w:ascii="Arial" w:cs="Arial" w:eastAsia="Arial" w:hAnsi="Arial"/>
          <w:sz w:val="24"/>
          <w:szCs w:val="24"/>
        </w:rPr>
        <w:t xml:space="preserve">2. Министерствам, государственным комитетам, административным ведомствам, иным органам исполнительной власти, аппаратам полномочных представителей Правительства Кыргызской Республики в областях, мэриям городов Бишкек и Ош (по согласованию):</w:t>
      </w:r>
    </w:p>
    <w:p>
      <w:pPr>
        <w:spacing w:after="120"/>
        <w:jc w:val="both"/>
      </w:pPr>
      <w:r>
        <w:rPr>
          <w:rFonts w:ascii="Arial" w:cs="Arial" w:eastAsia="Arial" w:hAnsi="Arial"/>
          <w:sz w:val="24"/>
          <w:szCs w:val="24"/>
        </w:rPr>
        <w:t xml:space="preserve">- в месячный срок разработать ведомственные планы по обеспечению утвержденных целевых показателей социально-экономического развития Кыргызской Республики;</w:t>
      </w:r>
    </w:p>
    <w:p>
      <w:pPr>
        <w:spacing w:after="120"/>
        <w:jc w:val="both"/>
      </w:pPr>
      <w:r>
        <w:rPr>
          <w:rFonts w:ascii="Arial" w:cs="Arial" w:eastAsia="Arial" w:hAnsi="Arial"/>
          <w:sz w:val="24"/>
          <w:szCs w:val="24"/>
        </w:rPr>
        <w:t xml:space="preserve">- в целях обеспечения макроэкономического прогноза на 2017 год обратить внимание на качественную реализацию мер по следующим направлениям:</w:t>
      </w:r>
    </w:p>
    <w:p>
      <w:pPr>
        <w:spacing w:after="120"/>
        <w:jc w:val="both"/>
      </w:pPr>
      <w:r>
        <w:rPr>
          <w:rFonts w:ascii="Arial" w:cs="Arial" w:eastAsia="Arial" w:hAnsi="Arial"/>
          <w:sz w:val="24"/>
          <w:szCs w:val="24"/>
        </w:rPr>
        <w:t xml:space="preserve">эффективное использование членства Кыргызской Республики во Всемирной торговой организации, а также преимуществ от статуса бенефициара Всеобщей системы преференций плюс (ВСП+);</w:t>
      </w:r>
    </w:p>
    <w:p>
      <w:pPr>
        <w:spacing w:after="120"/>
        <w:jc w:val="both"/>
      </w:pPr>
      <w:r>
        <w:rPr>
          <w:rFonts w:ascii="Arial" w:cs="Arial" w:eastAsia="Arial" w:hAnsi="Arial"/>
          <w:sz w:val="24"/>
          <w:szCs w:val="24"/>
        </w:rPr>
        <w:t xml:space="preserve">устранение административных барьеров, ограничивающих интенсивное развитие предпринимательства и инвестирование на территории регионов;</w:t>
      </w:r>
    </w:p>
    <w:p>
      <w:pPr>
        <w:spacing w:after="120"/>
        <w:jc w:val="both"/>
      </w:pPr>
      <w:r>
        <w:rPr>
          <w:rFonts w:ascii="Arial" w:cs="Arial" w:eastAsia="Arial" w:hAnsi="Arial"/>
          <w:sz w:val="24"/>
          <w:szCs w:val="24"/>
        </w:rPr>
        <w:t xml:space="preserve">переоснащение и модернизация производственных мощностей с целью снижения импортозависимости;</w:t>
      </w:r>
    </w:p>
    <w:p>
      <w:pPr>
        <w:spacing w:after="120"/>
        <w:jc w:val="both"/>
      </w:pPr>
      <w:r>
        <w:rPr>
          <w:rFonts w:ascii="Arial" w:cs="Arial" w:eastAsia="Arial" w:hAnsi="Arial"/>
          <w:sz w:val="24"/>
          <w:szCs w:val="24"/>
        </w:rPr>
        <w:t xml:space="preserve">создание условий для стимулирования энергосбережения;</w:t>
      </w:r>
    </w:p>
    <w:p>
      <w:pPr>
        <w:spacing w:after="120"/>
        <w:jc w:val="both"/>
      </w:pPr>
      <w:r>
        <w:rPr>
          <w:rFonts w:ascii="Arial" w:cs="Arial" w:eastAsia="Arial" w:hAnsi="Arial"/>
          <w:sz w:val="24"/>
          <w:szCs w:val="24"/>
        </w:rPr>
        <w:t xml:space="preserve">- на ежемесячной основе осуществлять мониторинг выполнения целевых показателей социально-экономического развития Кыргызской Республики на 2017 год;</w:t>
      </w:r>
    </w:p>
    <w:p>
      <w:pPr>
        <w:spacing w:after="120"/>
        <w:jc w:val="both"/>
      </w:pPr>
      <w:r>
        <w:rPr>
          <w:rFonts w:ascii="Arial" w:cs="Arial" w:eastAsia="Arial" w:hAnsi="Arial"/>
          <w:sz w:val="24"/>
          <w:szCs w:val="24"/>
        </w:rPr>
        <w:t xml:space="preserve">- ежемесячно, не позднее 15 числа месяца, следующего за отчетным периодом, представлять в Министерство экономики Кыргызской Республики информацию о ходе выполнения целевых показателей социально-экономического развития Кыргызской Республики в 2017 году.</w:t>
      </w:r>
    </w:p>
    <w:p>
      <w:pPr>
        <w:spacing w:after="120"/>
        <w:jc w:val="both"/>
      </w:pPr>
      <w:r>
        <w:rPr>
          <w:rFonts w:ascii="Arial" w:cs="Arial" w:eastAsia="Arial" w:hAnsi="Arial"/>
          <w:sz w:val="24"/>
          <w:szCs w:val="24"/>
        </w:rPr>
        <w:t xml:space="preserve">3. Министерству сельского хозяйства, пищевой промышленности и мелиорации Кыргызской Республики совместно с полномочными представителями Правительства Кыргызской Республики в областях принять меры по:</w:t>
      </w:r>
    </w:p>
    <w:p>
      <w:pPr>
        <w:spacing w:after="120"/>
        <w:jc w:val="both"/>
      </w:pPr>
      <w:r>
        <w:rPr>
          <w:rFonts w:ascii="Arial" w:cs="Arial" w:eastAsia="Arial" w:hAnsi="Arial"/>
          <w:sz w:val="24"/>
          <w:szCs w:val="24"/>
        </w:rPr>
        <w:t xml:space="preserve">- привлечению новых технологий в перерабатывающую промышленность, расширению сети тепличных хозяйств и систем капельного орошения;</w:t>
      </w:r>
    </w:p>
    <w:p>
      <w:pPr>
        <w:spacing w:after="120"/>
        <w:jc w:val="both"/>
      </w:pPr>
      <w:r>
        <w:rPr>
          <w:rFonts w:ascii="Arial" w:cs="Arial" w:eastAsia="Arial" w:hAnsi="Arial"/>
          <w:sz w:val="24"/>
          <w:szCs w:val="24"/>
        </w:rPr>
        <w:t xml:space="preserve">- увеличению посевных площадей под экспортно ориентированную сельскохозяйственную продукцию.</w:t>
      </w:r>
    </w:p>
    <w:p>
      <w:pPr>
        <w:spacing w:after="120"/>
        <w:jc w:val="both"/>
      </w:pPr>
      <w:r>
        <w:rPr>
          <w:rFonts w:ascii="Arial" w:cs="Arial" w:eastAsia="Arial" w:hAnsi="Arial"/>
          <w:sz w:val="24"/>
          <w:szCs w:val="24"/>
        </w:rPr>
        <w:t xml:space="preserve">4. Министерству финансов Кыргызской Республики:</w:t>
      </w:r>
    </w:p>
    <w:p>
      <w:pPr>
        <w:spacing w:after="120"/>
        <w:jc w:val="both"/>
      </w:pPr>
      <w:r>
        <w:rPr>
          <w:rFonts w:ascii="Arial" w:cs="Arial" w:eastAsia="Arial" w:hAnsi="Arial"/>
          <w:sz w:val="24"/>
          <w:szCs w:val="24"/>
        </w:rPr>
        <w:t xml:space="preserve">- при формировании проекта республиканского бюджета Кыргызской Республики на 2017 год и прогноза на 2018-2019 годы принять за основу утвержденные макроэкономические показатели развития Кыргызской Республики на 2017 год и 2018-2019 годы;</w:t>
      </w:r>
    </w:p>
    <w:p>
      <w:pPr>
        <w:spacing w:after="120"/>
        <w:jc w:val="both"/>
      </w:pPr>
      <w:r>
        <w:rPr>
          <w:rFonts w:ascii="Arial" w:cs="Arial" w:eastAsia="Arial" w:hAnsi="Arial"/>
          <w:sz w:val="24"/>
          <w:szCs w:val="24"/>
        </w:rPr>
        <w:t xml:space="preserve">- разработать и реализовать меры по усилению бюджетной дисциплины, обеспечению сбалансированности бюджета, контроля за эффективностью государственных расходов;</w:t>
      </w:r>
    </w:p>
    <w:p>
      <w:pPr>
        <w:spacing w:after="120"/>
        <w:jc w:val="both"/>
      </w:pPr>
      <w:r>
        <w:rPr>
          <w:rFonts w:ascii="Arial" w:cs="Arial" w:eastAsia="Arial" w:hAnsi="Arial"/>
          <w:sz w:val="24"/>
          <w:szCs w:val="24"/>
        </w:rPr>
        <w:t xml:space="preserve">- проводить на постоянной основе анализ расходной части бюджетов государственных органов и по итогам каждого полугодия вносить в Аппарат Правительства Кыргызской Республики аналитический отчет с рекомендациями по оптимизации государственных расходов.</w:t>
      </w:r>
    </w:p>
    <w:p>
      <w:pPr>
        <w:spacing w:after="120"/>
        <w:jc w:val="both"/>
      </w:pPr>
      <w:r>
        <w:rPr>
          <w:rFonts w:ascii="Arial" w:cs="Arial" w:eastAsia="Arial" w:hAnsi="Arial"/>
          <w:sz w:val="24"/>
          <w:szCs w:val="24"/>
        </w:rPr>
        <w:t xml:space="preserve">5. Министерству экономики Кыргызской Республики ежеквартально обобщать результаты мониторинга выполнения целевых показателей социально-экономического развития Кыргызской Республики министерствами, административными ведомствами, аппаратами полномочных представителей Правительства Кыргызской Республики в областях, мэриями городов Бишкек и Ош и не позднее 25 числа месяца, следующего за отчетным периодом, представлять в Аппарат Правительства Кыргызской Республики информацию о выполнении целевых показателей социально-экономического развития Кыргызской Республики в 2017 году.</w:t>
      </w:r>
    </w:p>
    <w:p>
      <w:pPr>
        <w:spacing w:after="120"/>
        <w:jc w:val="both"/>
      </w:pPr>
      <w:r>
        <w:rPr>
          <w:rFonts w:ascii="Arial" w:cs="Arial" w:eastAsia="Arial" w:hAnsi="Arial"/>
          <w:sz w:val="24"/>
          <w:szCs w:val="24"/>
        </w:rPr>
        <w:t xml:space="preserve">6. Признать утратившими силу:</w:t>
      </w:r>
    </w:p>
    <w:p>
      <w:pPr>
        <w:spacing w:after="120"/>
        <w:jc w:val="both"/>
      </w:pPr>
      <w:r>
        <w:rPr>
          <w:rFonts w:ascii="Arial" w:cs="Arial" w:eastAsia="Arial" w:hAnsi="Arial"/>
          <w:sz w:val="24"/>
          <w:szCs w:val="24"/>
        </w:rPr>
        <w:t xml:space="preserve">- </w:t>
      </w:r>
      <w:hyperlink w:history="1" r:id="rId2jzwarr_jf4esh7h0hpv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Прогнозе социально-экономического развития Кыргызской Республики на 2016 год и 2017-2018 годы" от 12 июня 2015 года № 354;</w:t>
      </w:r>
    </w:p>
    <w:p>
      <w:pPr>
        <w:spacing w:after="120"/>
        <w:jc w:val="both"/>
      </w:pPr>
      <w:r>
        <w:rPr>
          <w:rFonts w:ascii="Arial" w:cs="Arial" w:eastAsia="Arial" w:hAnsi="Arial"/>
          <w:sz w:val="24"/>
          <w:szCs w:val="24"/>
        </w:rPr>
        <w:t xml:space="preserve">- </w:t>
      </w:r>
      <w:hyperlink w:history="1" r:id="rId_mqpgsr4lgg8f2kebxez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hyperlink w:history="1" r:id="rIdfs0kqjtg3hh9rogsxvxg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Прогнозе социально-экономического развития Кыргызской Республики на 2016 год и 2017-2018 годы" от 12 июня 2015 года № 354" от 21 августа 2015 года № 597.</w:t>
      </w:r>
    </w:p>
    <w:p>
      <w:pPr>
        <w:spacing w:after="120"/>
        <w:jc w:val="both"/>
      </w:pPr>
      <w:r>
        <w:rPr>
          <w:rFonts w:ascii="Arial" w:cs="Arial" w:eastAsia="Arial" w:hAnsi="Arial"/>
          <w:sz w:val="24"/>
          <w:szCs w:val="24"/>
        </w:rPr>
        <w:t xml:space="preserve">7. Контроль за исполнением настоящего постановления возложить на соответствующие отделы Аппарата Правительства Кыргызской Республики.</w:t>
      </w:r>
    </w:p>
    <w:p>
      <w:pPr>
        <w:spacing w:after="120"/>
        <w:jc w:val="both"/>
      </w:pPr>
      <w:r>
        <w:rPr>
          <w:rFonts w:ascii="Arial" w:cs="Arial" w:eastAsia="Arial" w:hAnsi="Arial"/>
          <w:sz w:val="24"/>
          <w:szCs w:val="24"/>
        </w:rPr>
        <w:t xml:space="preserve">8. Настоящее постановление вступает в силу по истечении семи дней со дня официального опубликования.</w:t>
      </w:r>
    </w:p>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С.Жээнбеков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ПРОГНОЗ
 социально-экономического развития Кыргызской Республики на 2017 год и 2018-2019 годы</w:t>
      </w:r>
    </w:p>
    <w:p>
      <w:pPr>
        <w:spacing w:after="200" w:before="200"/>
        <w:jc w:val="center"/>
      </w:pPr>
      <w:r>
        <w:rPr>
          <w:rFonts w:ascii="Arial" w:cs="Arial" w:eastAsia="Arial" w:hAnsi="Arial"/>
          <w:b/>
          <w:bCs/>
          <w:sz w:val="24"/>
          <w:szCs w:val="24"/>
        </w:rPr>
        <w:t xml:space="preserve">1. Введение</w:t>
      </w:r>
    </w:p>
    <w:p>
      <w:pPr>
        <w:spacing w:after="60"/>
        <w:ind w:firstLine="567"/>
        <w:jc w:val="both"/>
      </w:pPr>
      <w:r>
        <w:rPr>
          <w:rFonts w:ascii="Arial" w:cs="Arial" w:eastAsia="Arial" w:hAnsi="Arial"/>
          <w:sz w:val="24"/>
          <w:szCs w:val="24"/>
        </w:rPr>
        <w:t xml:space="preserve">Основной целью Прогноза социально-экономического развития Кыргызской Республики на 2017 год и 2018-2019 годы (далее - Прогноз) является определение ориентиров и мер социально-экономической политики для государственных органов, органов местного самоуправления, хозяйствующих субъектов на среднесрочный период путем уточнения и конкретизации тенденций и предпосылок, выявления имеющихся ресурсов и возможных факторов риска для развития экономики страны.</w:t>
      </w:r>
    </w:p>
    <w:p>
      <w:pPr>
        <w:spacing w:after="60"/>
        <w:ind w:firstLine="567"/>
        <w:jc w:val="both"/>
      </w:pPr>
      <w:r>
        <w:rPr>
          <w:rFonts w:ascii="Arial" w:cs="Arial" w:eastAsia="Arial" w:hAnsi="Arial"/>
          <w:sz w:val="24"/>
          <w:szCs w:val="24"/>
        </w:rPr>
        <w:t xml:space="preserve">Прогноз рассчитан на основе анализа тенденций развития экономики по итогам 2015 года, экономической ситуации по предварительным итогам социально-экономического развития Кыргызской Республики за январь-март 2016 года и оценки ожидаемых показателей социально-экономического развития страны в 2016 году. Определены основные направления развития ключевых секторов экономики на 2017 год, включая детализированное описание их прогнозных значений, и перспективы развития экономики страны в 2018-2019 годах, построенные на базе официальных прогнозов отраслевых министерств, ведомств, регионов и текущих тенденций. Обозначены внешние, внутренние факторы и возможные риски.</w:t>
      </w:r>
    </w:p>
    <w:p>
      <w:pPr>
        <w:spacing w:after="60"/>
        <w:ind w:firstLine="567"/>
        <w:jc w:val="both"/>
      </w:pPr>
      <w:r>
        <w:rPr>
          <w:rFonts w:ascii="Arial" w:cs="Arial" w:eastAsia="Arial" w:hAnsi="Arial"/>
          <w:sz w:val="24"/>
          <w:szCs w:val="24"/>
        </w:rPr>
        <w:t xml:space="preserve">Прогноз социально-экономического развития Кыргызской Республики на 2017 год и 2018-2019 годы является основой для разработки проекта республиканского бюджета Кыргызской Республики на 2017 год и прогноза на 2018-2019 годы и может корректироваться ежегодно или по мере необходимости уточняться при выявлении новых внутренних и внешних условий функционирования экономики, появлении новых факторов риска.</w:t>
      </w:r>
    </w:p>
    <w:p>
      <w:pPr>
        <w:spacing w:after="200" w:before="200"/>
        <w:jc w:val="center"/>
      </w:pPr>
      <w:r>
        <w:rPr>
          <w:rFonts w:ascii="Arial" w:cs="Arial" w:eastAsia="Arial" w:hAnsi="Arial"/>
          <w:b/>
          <w:bCs/>
          <w:sz w:val="24"/>
          <w:szCs w:val="24"/>
        </w:rPr>
        <w:t xml:space="preserve">2. Обзор макроэкономической ситуации за 2015 год и итогов социально-экономического развития Кыргызской Республики за январь-март 2016 года</w:t>
      </w:r>
    </w:p>
    <w:p>
      <w:pPr>
        <w:spacing w:after="60" w:before="200"/>
        <w:ind w:firstLine="567"/>
        <w:jc w:val="left"/>
      </w:pPr>
      <w:r>
        <w:rPr>
          <w:rFonts w:ascii="Arial" w:cs="Arial" w:eastAsia="Arial" w:hAnsi="Arial"/>
          <w:b/>
          <w:bCs/>
          <w:sz w:val="24"/>
          <w:szCs w:val="24"/>
        </w:rPr>
        <w:t xml:space="preserve">2.1. Краткий обзор макроэкономической ситуации за 2015 год</w:t>
      </w:r>
    </w:p>
    <w:p>
      <w:pPr>
        <w:spacing w:after="60"/>
        <w:ind w:firstLine="567"/>
        <w:jc w:val="both"/>
      </w:pPr>
      <w:r>
        <w:rPr>
          <w:rFonts w:ascii="Arial" w:cs="Arial" w:eastAsia="Arial" w:hAnsi="Arial"/>
          <w:sz w:val="24"/>
          <w:szCs w:val="24"/>
        </w:rPr>
        <w:t xml:space="preserve">Макроэкономические условия в 2015 году складывались неблагоприятно для экономического развития государств-членов ЕАЭС. Основными причинами для всех экономик явилось значительное ухудшение внешних условий торговли, связанные с ним вторичные эффекты взаимного влияния экономик.</w:t>
      </w:r>
    </w:p>
    <w:p>
      <w:pPr>
        <w:spacing w:after="60"/>
        <w:ind w:firstLine="567"/>
        <w:jc w:val="both"/>
      </w:pPr>
      <w:r>
        <w:rPr>
          <w:rFonts w:ascii="Arial" w:cs="Arial" w:eastAsia="Arial" w:hAnsi="Arial"/>
          <w:sz w:val="24"/>
          <w:szCs w:val="24"/>
        </w:rPr>
        <w:t xml:space="preserve">Основными факторами, формировавшими внешние условия, являлись сохранение тренда на снижение цен сырьевых товаров, усиление напряженности на финансовых рынках, замедление экономической активности в Китае и развивающихся странах, а также в странах-экспортерах сырьевых товаров, сокращение трансграничных потоков капитала в результате поэтапного сворачивания стимулирующей денежно-кредитной политики в США и сокращения ликвидности на международных финансовых рынках. Сохранялась неравномерность в темпах роста крупнейших мировых экономик. По оценке Международного валютного фонда (далее - МВФ), темпы роста мировой экономики замедлились с 3,4% в 2014 году до 3,1% в 2015 году. Экономический рост в Китае тоже замедлился с 7,3% в 2014 году до 6,9% в 2015 году.</w:t>
      </w:r>
    </w:p>
    <w:p>
      <w:pPr>
        <w:spacing w:after="60" w:before="120"/>
        <w:ind w:firstLine="567"/>
        <w:jc w:val="right"/>
      </w:pPr>
      <w:r>
        <w:rPr>
          <w:rFonts w:ascii="Arial" w:cs="Arial" w:eastAsia="Arial" w:hAnsi="Arial"/>
          <w:sz w:val="24"/>
          <w:szCs w:val="24"/>
        </w:rPr>
        <w:t xml:space="preserve">Таблица 1</w:t>
      </w:r>
    </w:p>
    <w:p>
      <w:pPr>
        <w:spacing w:after="200" w:before="200"/>
        <w:jc w:val="center"/>
      </w:pPr>
      <w:r>
        <w:rPr>
          <w:rFonts w:ascii="Arial" w:cs="Arial" w:eastAsia="Arial" w:hAnsi="Arial"/>
          <w:b/>
          <w:bCs/>
          <w:sz w:val="32"/>
          <w:szCs w:val="32"/>
        </w:rPr>
        <w:t xml:space="preserve">Темпы роста мировой экономики, в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16"/>
        <w:gridCol w:w="2062"/>
        <w:gridCol w:w="2062"/>
        <w:gridCol w:w="3039"/>
      </w:tblGrid>
      <w:tr>
        <w:tc>
          <w:tcPr>
            <w:tcW w:type="dxa" w:w="301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Страны</w:t>
            </w:r>
          </w:p>
        </w:tc>
        <w:tc>
          <w:tcPr>
            <w:tcW w:type="dxa" w:w="20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 г., факт</w:t>
            </w:r>
          </w:p>
        </w:tc>
        <w:tc>
          <w:tcPr>
            <w:tcW w:type="dxa" w:w="20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 факт</w:t>
            </w:r>
          </w:p>
        </w:tc>
        <w:tc>
          <w:tcPr>
            <w:tcW w:type="dxa" w:w="30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 предв. факт</w:t>
            </w:r>
          </w:p>
        </w:tc>
      </w:tr>
      <w:tr>
        <w:tc>
          <w:tcPr>
            <w:tcW w:type="dxa" w:w="3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Мировая экономика</w:t>
            </w:r>
          </w:p>
        </w:tc>
        <w:tc>
          <w:tcPr>
            <w:tcW w:type="dxa" w:w="2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2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3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3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Еврозона</w:t>
            </w:r>
          </w:p>
        </w:tc>
        <w:tc>
          <w:tcPr>
            <w:tcW w:type="dxa" w:w="2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99,6</w:t>
            </w:r>
          </w:p>
        </w:tc>
        <w:tc>
          <w:tcPr>
            <w:tcW w:type="dxa" w:w="2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3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r>
      <w:tr>
        <w:tc>
          <w:tcPr>
            <w:tcW w:type="dxa" w:w="3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Китай</w:t>
            </w:r>
          </w:p>
        </w:tc>
        <w:tc>
          <w:tcPr>
            <w:tcW w:type="dxa" w:w="2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2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3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r>
    </w:tbl>
    <w:p>
      <w:pPr>
        <w:spacing w:after="60" w:before="120"/>
        <w:ind w:firstLine="567"/>
        <w:jc w:val="both"/>
      </w:pPr>
      <w:r>
        <w:rPr>
          <w:rFonts w:ascii="Arial" w:cs="Arial" w:eastAsia="Arial" w:hAnsi="Arial"/>
          <w:sz w:val="24"/>
          <w:szCs w:val="24"/>
        </w:rPr>
        <w:t xml:space="preserve">Экономическое развитие государств-членов ЕАЭС в 2015 году происходило на фоне возросшей волатильности основных макроэкономических индикаторов - валовой внутренний продукт (далее - ВВП), инфляция, бюджетный дефицит, а также финансовых рынков - курсы валют, процентные ставки и т.д.</w:t>
      </w:r>
    </w:p>
    <w:p>
      <w:pPr>
        <w:spacing w:after="60"/>
        <w:ind w:firstLine="567"/>
        <w:jc w:val="both"/>
      </w:pPr>
      <w:r>
        <w:rPr>
          <w:rFonts w:ascii="Arial" w:cs="Arial" w:eastAsia="Arial" w:hAnsi="Arial"/>
          <w:sz w:val="24"/>
          <w:szCs w:val="24"/>
        </w:rPr>
        <w:t xml:space="preserve">Снижение цен экспорта в отдельных государствах-членах ЕАЭС (цена на сырую нефть снизилась почти в 1,6 раза. Так, цена на нефть Brent, по состоянию на 31 декабря 2015 года, составила 36,56 долл/баррель, тогда как в аналогичном периоде 2014 года составляла 57,54 долл/баррель) привело к сокращению доходов экспортеров, оказало негативное влияние на состояние торговых балансов и бюджетов сектора государственного управления. Это в свою очередь усилило давление на международные резервные активы и курсы национальных валют, в результате риски для макроэкономической стабильности усилились. Темпы роста ВВП ЕАЭС снизились в силу рецессии в России и Республике Беларусь и замедления темпов экономического роста в других экономиках ЕАЭС. Большая часть макроэкономических показателей в течение 2015 года демонстрировала негативную динамику, которая определялась уровнем внутреннего спроса и реального обменного курса, которые являются отражением базовых экономических условий и макроэкономической политики.</w:t>
      </w:r>
    </w:p>
    <w:p>
      <w:pPr>
        <w:spacing w:after="60"/>
        <w:ind w:firstLine="567"/>
        <w:jc w:val="both"/>
      </w:pPr>
      <w:r>
        <w:rPr>
          <w:rFonts w:ascii="Arial" w:cs="Arial" w:eastAsia="Arial" w:hAnsi="Arial"/>
          <w:sz w:val="24"/>
          <w:szCs w:val="24"/>
        </w:rPr>
        <w:t xml:space="preserve">По итогам 2015 года в России и Республике Беларусь сложилась отрицательная динамика экономического роста: -3,7% и -3,9%, соответственно; в Казахстане и Армении рост замедлился с 4,1% до 1,2% и с 3,6% до 3,0% соответственно.</w:t>
      </w:r>
    </w:p>
    <w:p>
      <w:pPr>
        <w:spacing w:after="60"/>
        <w:ind w:firstLine="567"/>
        <w:jc w:val="both"/>
      </w:pPr>
      <w:r>
        <w:rPr>
          <w:rFonts w:ascii="Arial" w:cs="Arial" w:eastAsia="Arial" w:hAnsi="Arial"/>
          <w:sz w:val="24"/>
          <w:szCs w:val="24"/>
        </w:rPr>
        <w:t xml:space="preserve">Ослабление национальных валют и переход государств-членов к более гибкому курсообразованию в 2015 году негативно повлияли на внутренний спрос (потребительский и инвестиционный). Укрепление курса доллара США по отношению к валютам государств-членов ЕАЭС составило в среднем 34,4%.</w:t>
      </w:r>
    </w:p>
    <w:p>
      <w:pPr>
        <w:spacing w:after="60"/>
        <w:ind w:firstLine="567"/>
        <w:jc w:val="both"/>
      </w:pPr>
      <w:r>
        <w:rPr>
          <w:rFonts w:ascii="Arial" w:cs="Arial" w:eastAsia="Arial" w:hAnsi="Arial"/>
          <w:sz w:val="24"/>
          <w:szCs w:val="24"/>
        </w:rPr>
        <w:t xml:space="preserve">2015 год характеризовался высоким уровнем роста инфляции в странах - основных торговых партнерах: Казахстане - 13,6%, России - 12,9%, Республике Беларусь - 12,0%.</w:t>
      </w:r>
    </w:p>
    <w:p>
      <w:pPr>
        <w:spacing w:after="60"/>
        <w:ind w:firstLine="567"/>
        <w:jc w:val="both"/>
      </w:pPr>
      <w:r>
        <w:rPr>
          <w:rFonts w:ascii="Arial" w:cs="Arial" w:eastAsia="Arial" w:hAnsi="Arial"/>
          <w:sz w:val="24"/>
          <w:szCs w:val="24"/>
        </w:rPr>
        <w:t xml:space="preserve">Экономическое развитие Кыргызской Республики в данный период происходило на фоне указанных внешних вызовов/рисков. В результате сузился внутренний и внешний спрос, который отразился, прежде всего, на всех видах деятельности обрабатывающего производства, где наблюдалась отрицательная динамика роста. Отток капитала продолжился в 2015 году, где удельный вес составил половину поступивших прямых инвестиций (50,6%), валовое накопление основного капитала в течение нескольких кварталов подряд вносило отрицательный вклад в прирост ВВП. Снижение инвестиций обусловлено, прежде всего, падением капитальных вложений в таких видах экономической деятельности, как обрабатывающая промышленность, транспорт и связь, добыча полезных ископаемых, в то время как инвестиции в топливно-энергетический сектор увеличились.</w:t>
      </w:r>
    </w:p>
    <w:p>
      <w:pPr>
        <w:spacing w:after="60"/>
        <w:ind w:firstLine="567"/>
        <w:jc w:val="both"/>
      </w:pPr>
      <w:r>
        <w:rPr>
          <w:rFonts w:ascii="Arial" w:cs="Arial" w:eastAsia="Arial" w:hAnsi="Arial"/>
          <w:sz w:val="24"/>
          <w:szCs w:val="24"/>
        </w:rPr>
        <w:t xml:space="preserve">Снизился чистый приток денежных переводов физических лиц на 25,8% и в 2015 году составил 1344,4 млн. долл. США против 1811,9 млн. долл. США в 2014 году.</w:t>
      </w:r>
    </w:p>
    <w:p>
      <w:pPr>
        <w:spacing w:after="60"/>
        <w:ind w:firstLine="567"/>
        <w:jc w:val="both"/>
      </w:pPr>
      <w:r>
        <w:rPr>
          <w:rFonts w:ascii="Arial" w:cs="Arial" w:eastAsia="Arial" w:hAnsi="Arial"/>
          <w:sz w:val="24"/>
          <w:szCs w:val="24"/>
        </w:rPr>
        <w:t xml:space="preserve">Под влиянием данных факторов падение курса национальной валюты по отношению к доллару США по состоянию на 31 декабря 2015 года составило 28,9%. В результате направленных интервенций Национального банка Кыргызской Республики (далее - Национальный банк) на сглаживание излишней волатильности курса объем валовых международных резервов за 2015 год сократился на 9,2%. Ввиду более быстрого роста цен в странах - основных торговых партнерах реальный эффективный курс сома укрепился.</w:t>
      </w:r>
    </w:p>
    <w:p>
      <w:pPr>
        <w:spacing w:after="60"/>
        <w:ind w:firstLine="567"/>
        <w:jc w:val="both"/>
      </w:pPr>
      <w:r>
        <w:rPr>
          <w:rFonts w:ascii="Arial" w:cs="Arial" w:eastAsia="Arial" w:hAnsi="Arial"/>
          <w:sz w:val="24"/>
          <w:szCs w:val="24"/>
        </w:rPr>
        <w:t xml:space="preserve">После увеличения в начале года инфляция стала замедляться вследствие снижения цен на мировых рынках и предпринятых мер. На фоне замедления инфляции учетная ставка последовательно снижалась с 11,0% до 9,5% в мае и до 8,0% в июле 2015 года. Вместе с тем, вследствие усиления волатильности на валютном рынке в целях снижения давления на обменный курс (в конце августа 2015 года Казахстан, являющийся одним из основных торговых партнеров Кыргызстана, перешел к более гибкому режиму курса национальной валюты), Национальный банк увеличил в сентябре учетную ставку до 10,0% и сохранил ее на таком уровне до конца года.</w:t>
      </w:r>
    </w:p>
    <w:p>
      <w:pPr>
        <w:spacing w:after="60"/>
        <w:ind w:firstLine="567"/>
        <w:jc w:val="both"/>
      </w:pPr>
      <w:r>
        <w:rPr>
          <w:rFonts w:ascii="Arial" w:cs="Arial" w:eastAsia="Arial" w:hAnsi="Arial"/>
          <w:sz w:val="24"/>
          <w:szCs w:val="24"/>
        </w:rPr>
        <w:t xml:space="preserve">На фоне влияния негативных факторов экономический рост в 2015 году замедлился до 3,5% с 4,0% в 2014 году. Без учета предприятий по разработке месторождения Кумтор прирост реального ВВП составил 4,5%, против 5,0% в 2014 году. В расчете на душу населения объем ВВП составил 74,4 тыс. сомов и по сравнению с 2014 годом возрос на 1,4%.</w:t>
      </w:r>
    </w:p>
    <w:p>
      <w:pPr>
        <w:spacing w:after="120" w:before="120"/>
        <w:ind w:firstLine="567"/>
        <w:jc w:val="right"/>
      </w:pPr>
      <w:r>
        <w:rPr>
          <w:rFonts w:ascii="Arial" w:cs="Arial" w:eastAsia="Arial" w:hAnsi="Arial"/>
          <w:sz w:val="24"/>
          <w:szCs w:val="24"/>
        </w:rPr>
        <w:t xml:space="preserve">Таблица 2</w:t>
      </w:r>
    </w:p>
    <w:p>
      <w:pPr>
        <w:spacing w:after="200" w:before="200"/>
        <w:jc w:val="center"/>
      </w:pPr>
      <w:r>
        <w:rPr>
          <w:rFonts w:ascii="Arial" w:cs="Arial" w:eastAsia="Arial" w:hAnsi="Arial"/>
          <w:b/>
          <w:bCs/>
          <w:sz w:val="32"/>
          <w:szCs w:val="32"/>
        </w:rPr>
        <w:t xml:space="preserve">Структура и темпы роста по секторам, формирующим ВВП</w:t>
      </w:r>
    </w:p>
    <w:p>
      <w:pPr>
        <w:spacing w:after="120"/>
        <w:jc w:val="center"/>
      </w:pPr>
      <w:r>
        <w:rPr>
          <w:rFonts w:ascii="Arial" w:cs="Arial" w:eastAsia="Arial" w:hAnsi="Arial"/>
          <w:sz w:val="24"/>
          <w:szCs w:val="24"/>
        </w:rPr>
        <w:t xml:space="preserve">(показатели приведены по валовой добавленной стоимости (далее - ВДС)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51"/>
        <w:gridCol w:w="1079"/>
        <w:gridCol w:w="1079"/>
        <w:gridCol w:w="1079"/>
        <w:gridCol w:w="1148"/>
        <w:gridCol w:w="1148"/>
        <w:gridCol w:w="1148"/>
        <w:gridCol w:w="1148"/>
      </w:tblGrid>
      <w:tr>
        <w:tc>
          <w:tcPr>
            <w:tcW w:type="dxa" w:w="235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323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 факт</w:t>
            </w:r>
          </w:p>
        </w:tc>
        <w:tc>
          <w:tcPr>
            <w:tcW w:type="dxa" w:w="459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 предв. факт</w:t>
            </w:r>
          </w:p>
        </w:tc>
      </w:tr>
      <w:tr>
        <w:tc>
          <w:tcPr>
            <w:vMerge w:val="continue"/>
            <w:tcBorders>
              <w:top w:val="single" w:color="CBBF9E" w:sz="4"/>
              <w:left w:val="single" w:color="CBBF9E" w:sz="4"/>
              <w:bottom w:val="single" w:color="CBBF9E" w:sz="4"/>
              <w:right w:val="single" w:color="CBBF9E" w:sz="4"/>
            </w:tcBorders>
          </w:tcP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Доли вклада в рост ВВП, п.п.</w:t>
            </w:r>
          </w:p>
        </w:tc>
      </w:tr>
      <w:tr>
        <w:tc>
          <w:tcPr>
            <w:tcW w:type="dxa" w:w="23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400694,0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423635,5</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23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65938,4</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98,4</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64959,7</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95,8</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-0,69</w:t>
            </w:r>
          </w:p>
        </w:tc>
      </w:tr>
      <w:tr>
        <w:tc>
          <w:tcPr>
            <w:tcW w:type="dxa" w:w="23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58976,8</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59395,6</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0,91</w:t>
            </w:r>
          </w:p>
        </w:tc>
      </w:tr>
      <w:tr>
        <w:tc>
          <w:tcPr>
            <w:tcW w:type="dxa" w:w="23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29780,3</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127,1</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35322,9</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113,9</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r>
        <w:tc>
          <w:tcPr>
            <w:tcW w:type="dxa" w:w="23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190067,4</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47,4</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212901,9</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w:t>
            </w:r>
          </w:p>
        </w:tc>
      </w:tr>
      <w:tr>
        <w:tc>
          <w:tcPr>
            <w:tcW w:type="dxa" w:w="23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 и импорт</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55931,1</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51055,4</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0,49</w:t>
            </w:r>
          </w:p>
        </w:tc>
      </w:tr>
    </w:tbl>
    <w:p>
      <w:pPr>
        <w:spacing w:after="60" w:before="120"/>
        <w:ind w:firstLine="567"/>
        <w:jc w:val="both"/>
      </w:pPr>
      <w:r>
        <w:rPr>
          <w:rFonts w:ascii="Arial" w:cs="Arial" w:eastAsia="Arial" w:hAnsi="Arial"/>
          <w:sz w:val="24"/>
          <w:szCs w:val="24"/>
        </w:rPr>
        <w:t xml:space="preserve">Экономический рост обеспечен почти всеми секторами экономики, кроме промышленности; положительный вклад оценивается в сельском хозяйстве (реальный рост на 6,2%) на уровне 0,91 процентного пункта, строительстве (реальный рост на 13,9%) - на уровне 1,1 и сферы услуг (реальный рост на 3,7%) - на уровне 1,73 процентных пункта. Отрицательный вклад в формирование ВВП внесло сокращение в производстве промышленности (снижение объемов на 4,2%) на уровне 0,69 процентного пункта, которое обусловлено загрузкой производственных мощностей в среднем на 53,1% из-за сокращения заказов вследствие снижения покупательской способности на основных экспортных рынках республики - Российской Федерации и Республики Казахстан, неконкурентоспособности продукции отечественных производителей, нехватки оборотных средств, неплатежеспособности заказчиков, недостаточного спроса на готовую продукцию внутри страны, дефицита сырья и материалов, отключения электроэнергии. Снижены объемы производства золота на месторождении Кумтор и открытого акционерного общества "Кыргызалтын" по сравнению с 2014 годом (91,7%), и выработки электроэнергии - на 11,2%.</w:t>
      </w:r>
    </w:p>
    <w:p>
      <w:pPr>
        <w:spacing w:after="60"/>
        <w:ind w:firstLine="567"/>
        <w:jc w:val="both"/>
      </w:pPr>
      <w:r>
        <w:rPr>
          <w:rFonts w:ascii="Arial" w:cs="Arial" w:eastAsia="Arial" w:hAnsi="Arial"/>
          <w:sz w:val="24"/>
          <w:szCs w:val="24"/>
        </w:rPr>
        <w:t xml:space="preserve">Уменьшение объема поступлений денежных переводов физических лиц относительно 2014 года, которое не было компенсировано ростом реальной заработной платы, а также ослабление курса национальной валюты по отношению к доллару США обусловили снижение потребительского спроса. В то же время благоприятное воздействие на спрос населения оказало повышение размера реальной заработной платы (рост на 2,5%), объемы Потребительского кредитования (рост на 31,1%) и замедление инфляции (за счет продовольственной группы товаров). В 2015 году удалось снизить уровень инфляции до однозначных значений (индекс потребительских цен к декабрю 2014 года составил 103,4%, а среднегодовое значение - 106,5% (январь-декабрь 2015 года к январю-декабрю 2014 года).</w:t>
      </w:r>
    </w:p>
    <w:p>
      <w:pPr>
        <w:spacing w:after="60" w:before="120"/>
        <w:ind w:firstLine="567"/>
        <w:jc w:val="right"/>
      </w:pPr>
      <w:r>
        <w:rPr>
          <w:rFonts w:ascii="Arial" w:cs="Arial" w:eastAsia="Arial" w:hAnsi="Arial"/>
          <w:sz w:val="24"/>
          <w:szCs w:val="24"/>
        </w:rPr>
        <w:t xml:space="preserve">Таблица 3</w:t>
      </w:r>
    </w:p>
    <w:p>
      <w:pPr>
        <w:spacing w:after="200" w:before="200"/>
        <w:jc w:val="center"/>
      </w:pPr>
      <w:r>
        <w:rPr>
          <w:rFonts w:ascii="Arial" w:cs="Arial" w:eastAsia="Arial" w:hAnsi="Arial"/>
          <w:b/>
          <w:bCs/>
          <w:sz w:val="32"/>
          <w:szCs w:val="32"/>
        </w:rPr>
        <w:t xml:space="preserve">Показатели индекса потребительских цен (ИПЦ)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524"/>
        <w:gridCol w:w="1327"/>
        <w:gridCol w:w="1327"/>
      </w:tblGrid>
      <w:tr>
        <w:tc>
          <w:tcPr>
            <w:tcW w:type="dxa" w:w="752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ИПЦ</w:t>
            </w:r>
          </w:p>
        </w:tc>
        <w:tc>
          <w:tcPr>
            <w:tcW w:type="dxa" w:w="13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w:t>
            </w:r>
          </w:p>
        </w:tc>
        <w:tc>
          <w:tcPr>
            <w:tcW w:type="dxa" w:w="13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w:t>
            </w:r>
          </w:p>
        </w:tc>
      </w:tr>
      <w:tr>
        <w:tc>
          <w:tcPr>
            <w:tcW w:type="dxa" w:w="7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декабрю предыдущего года</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r>
      <w:tr>
        <w:tc>
          <w:tcPr>
            <w:tcW w:type="dxa" w:w="75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соответствующему периоду предыдущего года (среднегодовое значение)</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r>
    </w:tbl>
    <w:p>
      <w:pPr>
        <w:spacing w:after="60" w:before="120"/>
        <w:ind w:firstLine="567"/>
        <w:jc w:val="both"/>
      </w:pPr>
      <w:r>
        <w:rPr>
          <w:rFonts w:ascii="Arial" w:cs="Arial" w:eastAsia="Arial" w:hAnsi="Arial"/>
          <w:sz w:val="24"/>
          <w:szCs w:val="24"/>
        </w:rPr>
        <w:t xml:space="preserve">Снижение объемов выданных ипотечных кредитов и темпа роста инвестиций в основной капитал способствовало замедлению роста в сфере строительства. При этом уровень капитализации экономики возрос с 26,9% в 2014 году до 28,5% в 2015 году, в основном за счет увеличения объемов иностранных кредитов, средств населения.</w:t>
      </w:r>
    </w:p>
    <w:p>
      <w:pPr>
        <w:spacing w:after="60"/>
        <w:ind w:firstLine="567"/>
        <w:jc w:val="both"/>
      </w:pPr>
      <w:r>
        <w:rPr>
          <w:rFonts w:ascii="Arial" w:cs="Arial" w:eastAsia="Arial" w:hAnsi="Arial"/>
          <w:sz w:val="24"/>
          <w:szCs w:val="24"/>
        </w:rPr>
        <w:t xml:space="preserve">В условиях слабого внутреннего спроса существенно сократился объем импорта (на 29,6%). Ухудшение ожиданий предпринимателей улучшения условий торговли отдельными товарами, в основном автомобилей, в результате вступления Кыргызской Республики в ЕАЭС привело к значительному сокращению импорта этих категорий товаров, на которые ранее наблюдался повышенный спрос.</w:t>
      </w:r>
    </w:p>
    <w:p>
      <w:pPr>
        <w:spacing w:after="60"/>
        <w:ind w:firstLine="567"/>
        <w:jc w:val="both"/>
      </w:pPr>
      <w:r>
        <w:rPr>
          <w:rFonts w:ascii="Arial" w:cs="Arial" w:eastAsia="Arial" w:hAnsi="Arial"/>
          <w:sz w:val="24"/>
          <w:szCs w:val="24"/>
        </w:rPr>
        <w:t xml:space="preserve">Несмотря на сокращение поставок золота на внешние рынки и неблагоприятную ценовую конъюнктуру, его доля увеличилась и составила 39,7% совокупного объема товарного экспорта экономики. Экспорт товаров без учета золота сократился сильнее, отражая меньший спрос со стороны таких торговых партнеров, как Казахстан и Россия. Изменение сальдо внешней торговли в результате опережающего сокращения импорта относительно экспорта выступило основным фактором сокращения дефицита по счету текущих операций.</w:t>
      </w:r>
    </w:p>
    <w:p>
      <w:pPr>
        <w:spacing w:after="60"/>
        <w:ind w:firstLine="567"/>
        <w:jc w:val="both"/>
      </w:pPr>
      <w:r>
        <w:rPr>
          <w:rFonts w:ascii="Arial" w:cs="Arial" w:eastAsia="Arial" w:hAnsi="Arial"/>
          <w:sz w:val="24"/>
          <w:szCs w:val="24"/>
        </w:rPr>
        <w:t xml:space="preserve">Отмечалась позитивная динамика развития банковского сектора, что сопровождалось увеличением объема кредитного портфеля, без учета кредитов, предоставленных банкам и другим финансово-кредитным учреждениям, который по состоянию на 31 декабря 2015 года составил 94,0 млрд. сомов, увеличившись с начала года на 19,3% (к концу 2014 года составлял 78,8 млрд. сомов). Кредит в экономику в 2015 году составил 96,2 млрд. сомов, увеличившись с начала года на 17,2% (в 2014 году - 82,1 млрд. сомов).</w:t>
      </w:r>
    </w:p>
    <w:p>
      <w:pPr>
        <w:spacing w:after="60"/>
        <w:ind w:firstLine="567"/>
        <w:jc w:val="both"/>
      </w:pPr>
      <w:r>
        <w:rPr>
          <w:rFonts w:ascii="Arial" w:cs="Arial" w:eastAsia="Arial" w:hAnsi="Arial"/>
          <w:sz w:val="24"/>
          <w:szCs w:val="24"/>
        </w:rPr>
        <w:t xml:space="preserve">По итогам 2015 года доходы государственного бюджета в сравнении с 2014 годом увеличились на 7,0%, а расходы - на 10,6%. Снижение объема полученных трансфертов было компенсировано ростом налоговых и неналоговых доходов. С ростом доходов увеличились операционные расходы по всем основным категориям. Существенный вклад внесло увеличение расходов на оплату труда работников, покупку нефинансовых активов, приобретение и использование товаров и услуг. Бюджетная политика была ориентирована на увеличение государственных инвестиций в инфраструктурные проекты.</w:t>
      </w:r>
    </w:p>
    <w:p>
      <w:pPr>
        <w:spacing w:after="60"/>
        <w:ind w:firstLine="567"/>
        <w:jc w:val="both"/>
      </w:pPr>
      <w:r>
        <w:rPr>
          <w:rFonts w:ascii="Arial" w:cs="Arial" w:eastAsia="Arial" w:hAnsi="Arial"/>
          <w:sz w:val="24"/>
          <w:szCs w:val="24"/>
        </w:rPr>
        <w:t xml:space="preserve">Дефицит государственного бюджета составил 1,5% к ВВП (в 2014 году - 0,5% к ВВП). Его покрытие осуществлялось преимущественно за счет внешних источников.</w:t>
      </w:r>
    </w:p>
    <w:p>
      <w:pPr>
        <w:spacing w:after="60"/>
        <w:ind w:firstLine="567"/>
        <w:jc w:val="both"/>
      </w:pPr>
      <w:r>
        <w:rPr>
          <w:rFonts w:ascii="Arial" w:cs="Arial" w:eastAsia="Arial" w:hAnsi="Arial"/>
          <w:sz w:val="24"/>
          <w:szCs w:val="24"/>
        </w:rPr>
        <w:t xml:space="preserve">Структура государственного долга не претерпевает сильных изменений: более 90% составляет внешний долг. В 2015 году по сравнению с 2014 годом внутренний долг в национальной валюте вырос на 25,3%, внешний долг в долларах США увеличился на 4,8%. Темпы ослабления национальной валюты опережают рост экономики, что негативно сказывается на отношении долга к ВВП. По итогам 2015 года уровень внешнего долга к ВВП составил 64,5%, превысив законодательно установленное пороговое значение в размере 60,0%, что в основном обусловлено негативной тенденцией на валютном рынке и фактическим объемом ВВП, который сложился ниже прогнозного. Преобладание льготных соглашений в структуре внешнего долга (98,6%) сглаживает негативные эффекты от снижения валютного курса.</w:t>
      </w:r>
    </w:p>
    <w:p>
      <w:pPr>
        <w:spacing w:after="60"/>
        <w:ind w:firstLine="567"/>
        <w:jc w:val="both"/>
      </w:pPr>
      <w:r>
        <w:rPr>
          <w:rFonts w:ascii="Arial" w:cs="Arial" w:eastAsia="Arial" w:hAnsi="Arial"/>
          <w:sz w:val="24"/>
          <w:szCs w:val="24"/>
        </w:rPr>
        <w:t xml:space="preserve">Выросли доходы населения и отмечено улучшение ситуации на рынке труда. В соответствии с основными целевыми показателями Национальной стратегии устойчивого развития Кыргызской Республики на период 2013-2017 годы (далее - НСУР) (Указ Президента Кыргызской Республики от 21 января 2013 года № 11) ежегодно должно создаваться 70 тыс. рабочих мест. В 2015 году в республике создано 109676 рабочих мест (в 2014 году - 110252 рабочих места). При содействии государственных служб занятости в 2015 году было трудоустроено 50,7 тыс. человек, что на 5,5% больше, чем в 2014 году.</w:t>
      </w:r>
    </w:p>
    <w:p>
      <w:pPr>
        <w:spacing w:after="60"/>
        <w:ind w:firstLine="567"/>
        <w:jc w:val="both"/>
      </w:pPr>
      <w:r>
        <w:rPr>
          <w:rFonts w:ascii="Arial" w:cs="Arial" w:eastAsia="Arial" w:hAnsi="Arial"/>
          <w:sz w:val="24"/>
          <w:szCs w:val="24"/>
        </w:rPr>
        <w:t xml:space="preserve">Среднемесячная номинальная заработная плата одного работника в 2015 году составила 13483 сомов, увеличившись по сравнению с 2014 годом на 9,8%, а ее реальный размер, исчисленный с учетом индекса потребительских цен, возрос на 3,1% (в 2014 году составляла 12285,0 сомов и по сравнению с 2013 годом увеличилась на 0,7%), что в 2,6 раза покрывает величину прожиточного минимума. Среднегодовая величина прожиточного минимума в 2015 году составила 5182,99 сома и по сравнению с 2014 годом возросла на 4,0%. За последние 3 года средний размер пенсии увеличился на 5,0% с 4432,0 до 4753,0 сомов.</w:t>
      </w:r>
    </w:p>
    <w:p>
      <w:pPr>
        <w:spacing w:after="60"/>
        <w:ind w:firstLine="567"/>
        <w:jc w:val="both"/>
      </w:pPr>
      <w:r>
        <w:rPr>
          <w:rFonts w:ascii="Arial" w:cs="Arial" w:eastAsia="Arial" w:hAnsi="Arial"/>
          <w:sz w:val="24"/>
          <w:szCs w:val="24"/>
        </w:rPr>
        <w:t xml:space="preserve">Обеспечение положительной динамики экономического роста активно продвигалось в рамках Плана мероприятий Правительства Кыргызской Республики на 2015 год по укреплению национальной экономики (постановление Правительства Кыргызской Республики от 20 февраля 2015 года № 78), в котором были предусмотрены мероприятия из 38 пунктов, направленные в основном на обеспечение устойчивого развития экономики и социальной стабильности в периоды наиболее сильного влияния внешних и внутренних неблагоприятных факторов, на что были направлены антикризисные мероприятия.</w:t>
      </w:r>
    </w:p>
    <w:p>
      <w:pPr>
        <w:spacing w:after="60"/>
        <w:ind w:firstLine="567"/>
        <w:jc w:val="both"/>
      </w:pPr>
      <w:r>
        <w:rPr>
          <w:rFonts w:ascii="Arial" w:cs="Arial" w:eastAsia="Arial" w:hAnsi="Arial"/>
          <w:sz w:val="24"/>
          <w:szCs w:val="24"/>
        </w:rPr>
        <w:t xml:space="preserve">В целях стимулирования сельскохозяйственного производства реализован проект "Финансирование сельского хозяйства - 3" (постановление Правительства Кыргызской Республики от 11 марта 2015 года № 113), в рамках которого в 2015 году коммерческими банками выдано 9980 кредитов на сумму 3,8 млрд. сомов. На субсидирование процентных ставок коммерческих банков при предоставлении льготных кредитов фермерам из бюджета в 2015 году фактически, перечислено 271,36 млн. сомов.</w:t>
      </w:r>
    </w:p>
    <w:p>
      <w:pPr>
        <w:spacing w:after="60"/>
        <w:ind w:firstLine="567"/>
        <w:jc w:val="both"/>
      </w:pPr>
      <w:r>
        <w:rPr>
          <w:rFonts w:ascii="Arial" w:cs="Arial" w:eastAsia="Arial" w:hAnsi="Arial"/>
          <w:sz w:val="24"/>
          <w:szCs w:val="24"/>
        </w:rPr>
        <w:t xml:space="preserve">Началась деятельность Российско-Кыргызского Фонда развития (далее - Фонд). В целях поддержки малого, среднего бизнеса Фондом выделены средства в сумме 1,2 млрд. сомов двум банкам - открытым акционерным обществам "Айыл Банк" и "РСК Банк".</w:t>
      </w:r>
    </w:p>
    <w:p>
      <w:pPr>
        <w:spacing w:after="60"/>
        <w:ind w:firstLine="567"/>
        <w:jc w:val="both"/>
      </w:pPr>
      <w:r>
        <w:rPr>
          <w:rFonts w:ascii="Arial" w:cs="Arial" w:eastAsia="Arial" w:hAnsi="Arial"/>
          <w:sz w:val="24"/>
          <w:szCs w:val="24"/>
        </w:rPr>
        <w:t xml:space="preserve">Реализовывался План Правительства Кыргызской Республики по развитию экспорта Кыргызской Республики на 2015-2017 годы (постановление Правительства Кыргызской Республики от 31 марта 2015 года № 174). План выступает в качестве "дорожной карты" по расширению экспортного потенциала страны и содержит приоритетные секторы с высоким экспортным потенциалом.</w:t>
      </w:r>
    </w:p>
    <w:p>
      <w:pPr>
        <w:spacing w:after="60"/>
        <w:ind w:firstLine="567"/>
        <w:jc w:val="both"/>
      </w:pPr>
      <w:r>
        <w:rPr>
          <w:rFonts w:ascii="Arial" w:cs="Arial" w:eastAsia="Arial" w:hAnsi="Arial"/>
          <w:sz w:val="24"/>
          <w:szCs w:val="24"/>
        </w:rPr>
        <w:t xml:space="preserve">Для обеспечения благоприятных условий ведения бизнеса реализовывалась Программа Правительства Кыргызской Республики по развитию частного сектора в Кыргызской Республике на 2015-2017 годы (постановление Правительства Кыргызской Республики от 18 марта 2015 года № 129), в которой предусмотрено проведение ряда реформ: в торговой и таможенной сферах; по оптимизации налогового администрирования; по реформированию трудового законодательства и антимонопольного законодательства.</w:t>
      </w:r>
    </w:p>
    <w:p>
      <w:pPr>
        <w:spacing w:after="60"/>
        <w:ind w:firstLine="567"/>
        <w:jc w:val="both"/>
      </w:pPr>
      <w:r>
        <w:rPr>
          <w:rFonts w:ascii="Arial" w:cs="Arial" w:eastAsia="Arial" w:hAnsi="Arial"/>
          <w:sz w:val="24"/>
          <w:szCs w:val="24"/>
        </w:rPr>
        <w:t xml:space="preserve">Продолжалась работа по созданию и поддержанию благоприятных условий развития предпринимательства. Сокращено количество разрешений и лицензий с 500 до 98. В два раза сокращены сроки проведения проверок - с 30 до 15 рабочих дней, для субъектов малого бизнеса - до 5 рабочих дней, новые предприятия освобождены от неналоговых проверок на 3 года. Проделана работа в области совершенствования программы "Контр-Про 3", которая позволяет собрать данные по всем видам проверок, проводимых контролирующими органами посредством выхода в Интернет в режиме онлайн. Запущена реформа "Системный анализ регулирования".</w:t>
      </w:r>
    </w:p>
    <w:p>
      <w:pPr>
        <w:spacing w:after="60"/>
        <w:ind w:firstLine="567"/>
        <w:jc w:val="both"/>
      </w:pPr>
      <w:r>
        <w:rPr>
          <w:rFonts w:ascii="Arial" w:cs="Arial" w:eastAsia="Arial" w:hAnsi="Arial"/>
          <w:sz w:val="24"/>
          <w:szCs w:val="24"/>
        </w:rPr>
        <w:t xml:space="preserve">В целях сокращения масштабов теневой экономики утвержден План мероприятий государственных органов Кыргызской Республики по выполнению Государственной стратегии антикоррупционной политики Кыргызской Республики на 2015-2017 годы (постановление Правительства Кыргызской Республики от 30 марта 2015 года № 170), меры которого направлены на устранение условий и причин возникновения теневой составляющей экономики, а также по ее легализации.</w:t>
      </w:r>
    </w:p>
    <w:p>
      <w:pPr>
        <w:spacing w:after="60"/>
        <w:ind w:firstLine="567"/>
        <w:jc w:val="both"/>
      </w:pPr>
      <w:r>
        <w:rPr>
          <w:rFonts w:ascii="Arial" w:cs="Arial" w:eastAsia="Arial" w:hAnsi="Arial"/>
          <w:sz w:val="24"/>
          <w:szCs w:val="24"/>
        </w:rPr>
        <w:t xml:space="preserve">Для повышения эффективности использования государственных активов утверждена Программа приватизации государственной собственности в Кыргызской Республике на 2015-2017 годы (постановление Жогорку Кенеша Кыргызской Республики от 29 июня 2015 года № 5408-V), одобрена Концепция реформирования системы управления государственным имуществом в Кыргызской Республике (распоряжение Правительства Кыргызской Республики от 5 июня 2015 года № 244-р).</w:t>
      </w:r>
    </w:p>
    <w:p>
      <w:pPr>
        <w:spacing w:after="60"/>
        <w:ind w:firstLine="567"/>
        <w:jc w:val="both"/>
      </w:pPr>
      <w:r>
        <w:rPr>
          <w:rFonts w:ascii="Arial" w:cs="Arial" w:eastAsia="Arial" w:hAnsi="Arial"/>
          <w:sz w:val="24"/>
          <w:szCs w:val="24"/>
        </w:rPr>
        <w:t xml:space="preserve">Главным событием года стало становление Кыргызской Республики полноправным членом Евразийского экономического союза.</w:t>
      </w:r>
    </w:p>
    <w:p>
      <w:pPr>
        <w:spacing w:after="60"/>
        <w:ind w:firstLine="567"/>
        <w:jc w:val="both"/>
      </w:pPr>
      <w:r>
        <w:rPr>
          <w:rFonts w:ascii="Arial" w:cs="Arial" w:eastAsia="Arial" w:hAnsi="Arial"/>
          <w:sz w:val="24"/>
          <w:szCs w:val="24"/>
        </w:rPr>
        <w:t xml:space="preserve">12 августа 2015 года, после завершения всех процедур (ратификация Договора государствами - членами ЕАЭС, открытие границ), в 2015 году был отменен таможенный, санитарный, карантинный, фитосанитарный контроль на кыргызско-казахстанском участке государственной границы, на территории республики вступили в силу единый таможенный тариф, единая товарная номенклатура внешнеэкономической деятельности ЕАЭС, единые требования к продукции, установленные техническими регламентами Союза, и другие нормы и положения Договора о ЕАЭС.</w:t>
      </w:r>
    </w:p>
    <w:p>
      <w:pPr>
        <w:spacing w:after="60"/>
        <w:ind w:firstLine="567"/>
        <w:jc w:val="both"/>
      </w:pPr>
      <w:r>
        <w:rPr>
          <w:rFonts w:ascii="Arial" w:cs="Arial" w:eastAsia="Arial" w:hAnsi="Arial"/>
          <w:sz w:val="24"/>
          <w:szCs w:val="24"/>
        </w:rPr>
        <w:t xml:space="preserve">21 августа 2015 года принято решение совета Евразийской экономической комиссии об отмене санитарного и фитосанитарного контроля на кыргызско-казахстанском участке государственной границы, которое вступило в силу 18 ноября 2015 года. Проведено оснащение первоочередных пунктов пропуска Кыргызской Республики "Манас", "Ош", "Торугарт", "Иркештам". Оснащены оборудованием 7 ветеринарно-контрольных пропускных постов. Вступили в силу 35 технических регламентов ЕАЭС.</w:t>
      </w:r>
    </w:p>
    <w:p>
      <w:pPr>
        <w:spacing w:after="60"/>
        <w:ind w:firstLine="567"/>
        <w:jc w:val="both"/>
      </w:pPr>
      <w:r>
        <w:rPr>
          <w:rFonts w:ascii="Arial" w:cs="Arial" w:eastAsia="Arial" w:hAnsi="Arial"/>
          <w:sz w:val="24"/>
          <w:szCs w:val="24"/>
        </w:rPr>
        <w:t xml:space="preserve">Для более плавного интегрирования в период сложных внешних условий для функционирования экономик государств-членов ЕАЭС разработан План мер по адаптации Кыргызской Республики к условиям Евразийского экономического союза и создан Штаб по адаптации и оперативному реагированию на риски, связанные с присоединением Кыргызской Республики к ЕАЭС.</w:t>
      </w:r>
    </w:p>
    <w:p>
      <w:pPr>
        <w:spacing w:after="60"/>
        <w:ind w:firstLine="567"/>
        <w:jc w:val="both"/>
      </w:pPr>
      <w:r>
        <w:rPr>
          <w:rFonts w:ascii="Arial" w:cs="Arial" w:eastAsia="Arial" w:hAnsi="Arial"/>
          <w:sz w:val="24"/>
          <w:szCs w:val="24"/>
        </w:rPr>
        <w:t xml:space="preserve">В результате создания базовых условий для поддержания макроэкономической устойчивости и предпринимаемых совместных действий Правительства Кыргызской Республики и Национального банка достигнут положительный экономический рост в 2015 году и в полном объеме выполнены запланированные социальные обязательства.</w:t>
      </w:r>
    </w:p>
    <w:p>
      <w:pPr>
        <w:spacing w:after="60"/>
        <w:ind w:firstLine="567"/>
        <w:jc w:val="both"/>
      </w:pPr>
      <w:r>
        <w:rPr>
          <w:rFonts w:ascii="Arial" w:cs="Arial" w:eastAsia="Arial" w:hAnsi="Arial"/>
          <w:sz w:val="24"/>
          <w:szCs w:val="24"/>
        </w:rPr>
        <w:t xml:space="preserve">Проводимая в 2015 году согласованная экономическая политика, несмотря на негативное влияние ситуации, продолжающегося замедления темпов роста мировой экономики, в том числе в странах - основных торговых партнерах (Российская Федерация, Республика Казахстан), позволила сохранить наметившуюся положительную динамику развития экономики, экономическую и политическую стабильность в стране. При этом экономика Кыргызской Республики остается уязвимой к воздействию внешних и внутренних потрясений.</w:t>
      </w:r>
    </w:p>
    <w:p>
      <w:pPr>
        <w:spacing w:after="60" w:before="200"/>
        <w:ind w:firstLine="567"/>
        <w:jc w:val="left"/>
      </w:pPr>
      <w:r>
        <w:rPr>
          <w:rFonts w:ascii="Arial" w:cs="Arial" w:eastAsia="Arial" w:hAnsi="Arial"/>
          <w:b/>
          <w:bCs/>
          <w:sz w:val="24"/>
          <w:szCs w:val="24"/>
        </w:rPr>
        <w:t xml:space="preserve">2.2. Предварительные итоги социально-экономического развития Кыргызской Республики за январь-март 2016 года</w:t>
      </w:r>
    </w:p>
    <w:p>
      <w:pPr>
        <w:spacing w:after="60"/>
        <w:ind w:firstLine="567"/>
        <w:jc w:val="both"/>
      </w:pPr>
      <w:r>
        <w:rPr>
          <w:rFonts w:ascii="Arial" w:cs="Arial" w:eastAsia="Arial" w:hAnsi="Arial"/>
          <w:sz w:val="24"/>
          <w:szCs w:val="24"/>
        </w:rPr>
        <w:t xml:space="preserve">В I квартале 2016 года сохранялось снижение темпов экономического роста. По предварительной оценке Национального статистического комитета Кыргызской Республики, по итогам за январь-март 2016 года объем ВВП сложился в сумме 78,8 млрд. сомов и реальный темп роста составил 95,1% (в январе-марте 2015 года реальный рост составлял 106,3%). Без учета предприятий по разработке месторождения Кумтор реальный темп роста ВВП составил 101,0%, за соответствующий период 2015 года аналогичный показатель составлял 102,4%.</w:t>
      </w:r>
    </w:p>
    <w:p>
      <w:pPr>
        <w:spacing w:after="60"/>
        <w:ind w:firstLine="567"/>
        <w:jc w:val="both"/>
      </w:pPr>
      <w:r>
        <w:rPr>
          <w:rFonts w:ascii="Arial" w:cs="Arial" w:eastAsia="Arial" w:hAnsi="Arial"/>
          <w:sz w:val="24"/>
          <w:szCs w:val="24"/>
        </w:rPr>
        <w:t xml:space="preserve">Тенденция ухудшения состояния дел в экономике обозначилась практически с начала года. Так, в январе реальное снижение ВВП составило 10,7%, в феврале - 7,8%, в марте - 4,9% (с нарастающим итогом).</w:t>
      </w:r>
    </w:p>
    <w:p>
      <w:pPr>
        <w:spacing w:after="120" w:before="120"/>
        <w:ind w:firstLine="567"/>
        <w:jc w:val="right"/>
      </w:pPr>
      <w:r>
        <w:rPr>
          <w:rFonts w:ascii="Arial" w:cs="Arial" w:eastAsia="Arial" w:hAnsi="Arial"/>
          <w:sz w:val="24"/>
          <w:szCs w:val="24"/>
        </w:rPr>
        <w:t xml:space="preserve">Таблица 4</w:t>
      </w:r>
    </w:p>
    <w:p>
      <w:pPr>
        <w:spacing w:after="200" w:before="200"/>
        <w:jc w:val="center"/>
      </w:pPr>
      <w:r>
        <w:rPr>
          <w:rFonts w:ascii="Arial" w:cs="Arial" w:eastAsia="Arial" w:hAnsi="Arial"/>
          <w:b/>
          <w:bCs/>
          <w:sz w:val="32"/>
          <w:szCs w:val="32"/>
        </w:rPr>
        <w:t xml:space="preserve">Динамика экономического роста с начала 2016 года</w:t>
      </w:r>
    </w:p>
    <w:p>
      <w:pPr>
        <w:spacing w:after="60"/>
        <w:ind w:firstLine="567"/>
        <w:jc w:val="right"/>
      </w:pPr>
      <w:r>
        <w:rPr>
          <w:rFonts w:ascii="Arial" w:cs="Arial" w:eastAsia="Arial" w:hAnsi="Arial"/>
          <w:sz w:val="24"/>
          <w:szCs w:val="24"/>
        </w:rPr>
        <w:t xml:space="preserve">(в процентах)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94"/>
        <w:gridCol w:w="2294"/>
        <w:gridCol w:w="2294"/>
        <w:gridCol w:w="2296"/>
      </w:tblGrid>
      <w:tr>
        <w:tc>
          <w:tcPr>
            <w:tcW w:type="dxa" w:w="329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22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Январь-февраль</w:t>
            </w:r>
          </w:p>
        </w:tc>
        <w:tc>
          <w:tcPr>
            <w:tcW w:type="dxa" w:w="22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Январь-март</w:t>
            </w:r>
          </w:p>
        </w:tc>
      </w:tr>
      <w:tr>
        <w:tc>
          <w:tcPr>
            <w:tcW w:type="dxa" w:w="3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89,3</w:t>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92,2</w:t>
            </w:r>
          </w:p>
        </w:tc>
        <w:tc>
          <w:tcPr>
            <w:tcW w:type="dxa" w:w="22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95,1</w:t>
            </w:r>
          </w:p>
        </w:tc>
      </w:tr>
      <w:tr>
        <w:tc>
          <w:tcPr>
            <w:tcW w:type="dxa" w:w="3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66,9</w:t>
            </w:r>
          </w:p>
        </w:tc>
        <w:tc>
          <w:tcPr>
            <w:tcW w:type="dxa" w:w="22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74,9</w:t>
            </w:r>
          </w:p>
        </w:tc>
      </w:tr>
      <w:tr>
        <w:tc>
          <w:tcPr>
            <w:tcW w:type="dxa" w:w="3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22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3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96,4</w:t>
            </w:r>
          </w:p>
        </w:tc>
        <w:tc>
          <w:tcPr>
            <w:tcW w:type="dxa" w:w="22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r>
      <w:tr>
        <w:tc>
          <w:tcPr>
            <w:tcW w:type="dxa" w:w="3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22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bl>
    <w:p>
      <w:pPr>
        <w:spacing w:after="60" w:before="120"/>
        <w:ind w:firstLine="567"/>
        <w:jc w:val="both"/>
      </w:pPr>
      <w:r>
        <w:rPr>
          <w:rFonts w:ascii="Arial" w:cs="Arial" w:eastAsia="Arial" w:hAnsi="Arial"/>
          <w:sz w:val="24"/>
          <w:szCs w:val="24"/>
        </w:rPr>
        <w:t xml:space="preserve">Основная, но не единственная причина ухудшения ситуации в экономике с начала года - это фактическое снижение производства золота на предприятиях по разработке месторождения Кумтор почти в 2 раза, в основном, обусловленное выходом на горизонты с меньшим содержанием золота в руде, а также сокращением объемов производства открытого акционерного общества "Кыргызалтын" по сравнению с I кварталом 2015 года в 2 раза (51,1%) из-за истощения детально разведанных промышленных запасов золота месторождения Макмал.</w:t>
      </w:r>
    </w:p>
    <w:p>
      <w:pPr>
        <w:spacing w:after="60"/>
        <w:ind w:firstLine="567"/>
        <w:jc w:val="both"/>
      </w:pPr>
      <w:r>
        <w:rPr>
          <w:rFonts w:ascii="Arial" w:cs="Arial" w:eastAsia="Arial" w:hAnsi="Arial"/>
          <w:sz w:val="24"/>
          <w:szCs w:val="24"/>
        </w:rPr>
        <w:t xml:space="preserve">Кроме того, отрицательная динамика объемов промышленного производства обусловлена загрузкой производственных мощностей в среднем на 53,1% из-за снижения заказов по причине снижения покупательской способности на основных экспортных рынках республики - Российской Федерации и Республике Казахстан, ужесточения правил на таможенной территории стран-членов ЕАЭС, неконкурентоспособности отечественной продукции, нехватки оборотных средств, неплатежеспособности заказчиков, недостаточного спроса на готовую продукцию внутри страны, дефицита сырья и материалов. Сократились объемы производства пищевых продуктов (включая напитки) и табачных изделий на 3,4%, резиновых и пластмассовых изделий, прочих неметаллических минеральных продуктов - на 26,5%, химической продукции - на 25,4%; текстильного производства, производства одежды и обуви, кожи и прочих кожаных изделий - на 6,0%, совокупный удельный вес которых в общем объеме производства промышленности составляет 17,9%, а также снижены объемы выработки электроэнергии на 8,9%.</w:t>
      </w:r>
    </w:p>
    <w:p>
      <w:pPr>
        <w:spacing w:after="60"/>
        <w:ind w:firstLine="567"/>
        <w:jc w:val="both"/>
      </w:pPr>
      <w:r>
        <w:rPr>
          <w:rFonts w:ascii="Arial" w:cs="Arial" w:eastAsia="Arial" w:hAnsi="Arial"/>
          <w:sz w:val="24"/>
          <w:szCs w:val="24"/>
        </w:rPr>
        <w:t xml:space="preserve">Отрицательный вклад в формирование ВВП со стороны промышленного производства оценивается на уровне 5,67 процентных пункта, включая предприятия по разработке месторождения Кумтор (отрицательный вклад - 5,76 процентных пункта).</w:t>
      </w:r>
    </w:p>
    <w:p>
      <w:pPr>
        <w:spacing w:after="60"/>
        <w:ind w:firstLine="567"/>
        <w:jc w:val="both"/>
      </w:pPr>
      <w:r>
        <w:rPr>
          <w:rFonts w:ascii="Arial" w:cs="Arial" w:eastAsia="Arial" w:hAnsi="Arial"/>
          <w:sz w:val="24"/>
          <w:szCs w:val="24"/>
        </w:rPr>
        <w:t xml:space="preserve">Экономический рост обеспечен следующими секторами: в сельском хозяйстве объемы реально возросли на 1,5%, в сфере услуг - на 2,5%, в строительстве - на 0,1%.</w:t>
      </w:r>
    </w:p>
    <w:p>
      <w:pPr>
        <w:spacing w:after="60"/>
        <w:ind w:firstLine="567"/>
        <w:jc w:val="both"/>
      </w:pPr>
      <w:r>
        <w:rPr>
          <w:rFonts w:ascii="Arial" w:cs="Arial" w:eastAsia="Arial" w:hAnsi="Arial"/>
          <w:sz w:val="24"/>
          <w:szCs w:val="24"/>
        </w:rPr>
        <w:t xml:space="preserve">Основным сектором, сдерживающим значительный спад экономики, стала сфера услуг, вклад которой оценивается в 1,26 процентных пункта, а вклад сельского хозяйства и строительства оценивается как нейтральный и составил 0,14 процентных пункта.</w:t>
      </w:r>
    </w:p>
    <w:p>
      <w:pPr>
        <w:spacing w:after="60" w:before="120"/>
        <w:jc w:val="right"/>
      </w:pPr>
      <w:r>
        <w:rPr>
          <w:rFonts w:ascii="Arial" w:cs="Arial" w:eastAsia="Arial" w:hAnsi="Arial"/>
          <w:sz w:val="24"/>
          <w:szCs w:val="24"/>
        </w:rPr>
        <w:t xml:space="preserve">Таблица 5</w:t>
      </w:r>
    </w:p>
    <w:p>
      <w:pPr>
        <w:spacing w:after="200" w:before="200"/>
        <w:jc w:val="center"/>
      </w:pPr>
      <w:r>
        <w:rPr>
          <w:rFonts w:ascii="Arial" w:cs="Arial" w:eastAsia="Arial" w:hAnsi="Arial"/>
          <w:b/>
          <w:bCs/>
          <w:sz w:val="32"/>
          <w:szCs w:val="32"/>
        </w:rPr>
        <w:t xml:space="preserve">Структура и темпы роста по секторам, формирующим ВВП</w:t>
      </w:r>
    </w:p>
    <w:p>
      <w:pPr>
        <w:spacing w:after="120"/>
        <w:jc w:val="center"/>
      </w:pPr>
      <w:r>
        <w:rPr>
          <w:rFonts w:ascii="Arial" w:cs="Arial" w:eastAsia="Arial" w:hAnsi="Arial"/>
          <w:sz w:val="24"/>
          <w:szCs w:val="24"/>
        </w:rPr>
        <w:t xml:space="preserve">(темпы прироста приведены по ВДС)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37"/>
        <w:gridCol w:w="1094"/>
        <w:gridCol w:w="1094"/>
        <w:gridCol w:w="1094"/>
        <w:gridCol w:w="1165"/>
        <w:gridCol w:w="1165"/>
        <w:gridCol w:w="1165"/>
        <w:gridCol w:w="1165"/>
      </w:tblGrid>
      <w:tr>
        <w:tc>
          <w:tcPr>
            <w:tcW w:type="dxa" w:w="223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3282"/>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Январь-март 2015 г.</w:t>
            </w:r>
          </w:p>
        </w:tc>
        <w:tc>
          <w:tcPr>
            <w:tcW w:type="dxa" w:w="466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Январь-март 2016 г.</w:t>
            </w:r>
          </w:p>
        </w:tc>
      </w:tr>
      <w:tr>
        <w:tc>
          <w:tcPr>
            <w:vMerge w:val="continue"/>
            <w:tcBorders>
              <w:top w:val="single" w:color="CBBF9E" w:sz="4"/>
              <w:left w:val="single" w:color="CBBF9E" w:sz="4"/>
              <w:bottom w:val="single" w:color="CBBF9E" w:sz="4"/>
              <w:right w:val="single" w:color="CBBF9E" w:sz="4"/>
            </w:tcBorders>
          </w:tcP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 (млн. сомов)</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 (млн. сомов)</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вклада в рост ВВП, п.п.</w:t>
            </w:r>
          </w:p>
        </w:tc>
      </w:tr>
      <w:tr>
        <w:tc>
          <w:tcPr>
            <w:tcW w:type="dxa" w:w="22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80709,7</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78799,0</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95,1</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r>
      <w:tr>
        <w:tc>
          <w:tcPr>
            <w:tcW w:type="dxa" w:w="22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18278,6</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120,3</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14187,7</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74,9</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-5,67</w:t>
            </w:r>
          </w:p>
        </w:tc>
      </w:tr>
      <w:tr>
        <w:tc>
          <w:tcPr>
            <w:tcW w:type="dxa" w:w="22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6887,3</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6663,1</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w:t>
            </w:r>
          </w:p>
        </w:tc>
      </w:tr>
      <w:tr>
        <w:tc>
          <w:tcPr>
            <w:tcW w:type="dxa" w:w="22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4659,6</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96,8</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4784,9</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r>
      <w:tr>
        <w:tc>
          <w:tcPr>
            <w:tcW w:type="dxa" w:w="22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40615,5</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42902,0</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54,5</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w:t>
            </w:r>
          </w:p>
        </w:tc>
      </w:tr>
      <w:tr>
        <w:tc>
          <w:tcPr>
            <w:tcW w:type="dxa" w:w="22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10268,7</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1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10261,3</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95,1</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-0,62</w:t>
            </w:r>
          </w:p>
        </w:tc>
      </w:tr>
    </w:tbl>
    <w:p>
      <w:pPr>
        <w:spacing w:after="60" w:before="120"/>
        <w:ind w:firstLine="567"/>
        <w:jc w:val="both"/>
      </w:pPr>
      <w:r>
        <w:rPr>
          <w:rFonts w:ascii="Arial" w:cs="Arial" w:eastAsia="Arial" w:hAnsi="Arial"/>
          <w:sz w:val="24"/>
          <w:szCs w:val="24"/>
        </w:rPr>
        <w:t xml:space="preserve">Вследствие складывающихся тенденций в экономике в структуре номинального ВВП доля отраслей, производящих товары, уменьшилась на 4,5 процентных пункта и составила 32,5%, доля отраслей, оказывающих услуги, увеличилась на 4,2 процентных пункта и составила 54,5%.</w:t>
      </w:r>
    </w:p>
    <w:p>
      <w:pPr>
        <w:spacing w:after="60"/>
        <w:ind w:firstLine="567"/>
        <w:jc w:val="both"/>
      </w:pPr>
      <w:r>
        <w:rPr>
          <w:rFonts w:ascii="Arial" w:cs="Arial" w:eastAsia="Arial" w:hAnsi="Arial"/>
          <w:sz w:val="24"/>
          <w:szCs w:val="24"/>
        </w:rPr>
        <w:t xml:space="preserve">Внешнеторговый оборот Кыргызской Республики за январь-март 2016 года составил 1021,0 млн. долл. США и по сравнению с январем-мартом 2015 года сократился на 21,6%. За январь-март 2016 года экспорт составил 287,1 млн. долл. США, что меньше объема экспортных поставок за январь-март 2015 года на 25,8%. Уменьшение объема экспортных поставок обусловлено сокращением поставок крупного рогатого скота в 6 раз, фруктов - в 4,2 раза, молока и молочной продукции - в 1,4 раза, также хлопка - в 2 раза. Объем экспорта золота уменьшился в 2,6 раза.</w:t>
      </w:r>
    </w:p>
    <w:p>
      <w:pPr>
        <w:spacing w:after="60"/>
        <w:ind w:firstLine="567"/>
        <w:jc w:val="both"/>
      </w:pPr>
      <w:r>
        <w:rPr>
          <w:rFonts w:ascii="Arial" w:cs="Arial" w:eastAsia="Arial" w:hAnsi="Arial"/>
          <w:sz w:val="24"/>
          <w:szCs w:val="24"/>
        </w:rPr>
        <w:t xml:space="preserve">За январь-март 2016 года импортные поступления составили 733,9 млн. долл. США и сократились на 19,8%. Снижение объемов импорта обусловлено сокращением ввоза транспортных средств в 2,1 раза, фармацевтической продукции - в 1,5 раза, смазочных нефтяных масел - в 1,7 раза, сахара и кондитерских изделий - на 19%, мяса и мясопродуктов - на 10,2%.</w:t>
      </w:r>
    </w:p>
    <w:p>
      <w:pPr>
        <w:spacing w:after="60"/>
        <w:ind w:firstLine="567"/>
        <w:jc w:val="both"/>
      </w:pPr>
      <w:r>
        <w:rPr>
          <w:rFonts w:ascii="Arial" w:cs="Arial" w:eastAsia="Arial" w:hAnsi="Arial"/>
          <w:sz w:val="24"/>
          <w:szCs w:val="24"/>
        </w:rPr>
        <w:t xml:space="preserve">Основные макроэкономические показатели в отчетном периоде складывались на фоне следующих факторов:</w:t>
      </w:r>
    </w:p>
    <w:p>
      <w:pPr>
        <w:spacing w:after="60"/>
        <w:ind w:firstLine="567"/>
        <w:jc w:val="both"/>
      </w:pPr>
      <w:r>
        <w:rPr>
          <w:rFonts w:ascii="Arial" w:cs="Arial" w:eastAsia="Arial" w:hAnsi="Arial"/>
          <w:sz w:val="24"/>
          <w:szCs w:val="24"/>
        </w:rPr>
        <w:t xml:space="preserve">- сохранение тенденции снижения/замедления экономического роста в основных странах - торговых партнеров (справочно: по итогам января-марта 2016 года в России, Белоруссии и Казахстане сложилась отрицательная динамика экономического роста: -1,4%, -3,6% и -0,2%, соответственно; Китае рост на 6,7%, что является наименьшим результатом с 2009 года);</w:t>
      </w:r>
    </w:p>
    <w:p>
      <w:pPr>
        <w:spacing w:after="60"/>
        <w:ind w:firstLine="567"/>
        <w:jc w:val="both"/>
      </w:pPr>
      <w:r>
        <w:rPr>
          <w:rFonts w:ascii="Arial" w:cs="Arial" w:eastAsia="Arial" w:hAnsi="Arial"/>
          <w:sz w:val="24"/>
          <w:szCs w:val="24"/>
        </w:rPr>
        <w:t xml:space="preserve">- благоприятная ценовая ситуация на мировых продовольственных рынках;</w:t>
      </w:r>
    </w:p>
    <w:p>
      <w:pPr>
        <w:spacing w:after="60"/>
        <w:ind w:firstLine="567"/>
        <w:jc w:val="both"/>
      </w:pPr>
      <w:r>
        <w:rPr>
          <w:rFonts w:ascii="Arial" w:cs="Arial" w:eastAsia="Arial" w:hAnsi="Arial"/>
          <w:sz w:val="24"/>
          <w:szCs w:val="24"/>
        </w:rPr>
        <w:t xml:space="preserve">- наблюдаемое повышение цены на сырую нефть (цена на нефть Brent, по состоянию на 31 марта 2016 года, составила 39,80 долл/баррель, тогда как на 31 декабря 2015 года составляла - 36,56 долл/баррель, по состоянию на 30 мая 2016 года- 49,70 долл/баррель);</w:t>
      </w:r>
    </w:p>
    <w:p>
      <w:pPr>
        <w:spacing w:after="60"/>
        <w:ind w:firstLine="567"/>
        <w:jc w:val="both"/>
      </w:pPr>
      <w:r>
        <w:rPr>
          <w:rFonts w:ascii="Arial" w:cs="Arial" w:eastAsia="Arial" w:hAnsi="Arial"/>
          <w:sz w:val="24"/>
          <w:szCs w:val="24"/>
        </w:rPr>
        <w:t xml:space="preserve">- прирост чистого притока денежных переводов физических лиц на 15,9%, которые за январь-март 2016 года составили 230,9 млн. долл. США (за 2015 год сумма составила 199,2 млн. долл. США);</w:t>
      </w:r>
    </w:p>
    <w:p>
      <w:pPr>
        <w:spacing w:after="60"/>
        <w:ind w:firstLine="567"/>
        <w:jc w:val="both"/>
      </w:pPr>
      <w:r>
        <w:rPr>
          <w:rFonts w:ascii="Arial" w:cs="Arial" w:eastAsia="Arial" w:hAnsi="Arial"/>
          <w:sz w:val="24"/>
          <w:szCs w:val="24"/>
        </w:rPr>
        <w:t xml:space="preserve">- зависимость внутреннего рынка от импорта продовольственной группы товаров (мука, растительное масло, сахар, крупы и т.д.);</w:t>
      </w:r>
    </w:p>
    <w:p>
      <w:pPr>
        <w:spacing w:after="60"/>
        <w:ind w:firstLine="567"/>
        <w:jc w:val="both"/>
      </w:pPr>
      <w:r>
        <w:rPr>
          <w:rFonts w:ascii="Arial" w:cs="Arial" w:eastAsia="Arial" w:hAnsi="Arial"/>
          <w:sz w:val="24"/>
          <w:szCs w:val="24"/>
        </w:rPr>
        <w:t xml:space="preserve">- предоставление льготных кредитов фермерам (по состоянию на 31 марта 2016 года, выдано 3602 кредитов фермерам и фермерским хозяйствам на общую сумму 1,3 млрд. сомов);</w:t>
      </w:r>
    </w:p>
    <w:p>
      <w:pPr>
        <w:spacing w:after="60"/>
        <w:ind w:firstLine="567"/>
        <w:jc w:val="both"/>
      </w:pPr>
      <w:r>
        <w:rPr>
          <w:rFonts w:ascii="Arial" w:cs="Arial" w:eastAsia="Arial" w:hAnsi="Arial"/>
          <w:sz w:val="24"/>
          <w:szCs w:val="24"/>
        </w:rPr>
        <w:t xml:space="preserve">- рост потребительских кредитов на 25,1% за январь-март 2016 года по сравнению с соответствующим периодом 2015 года;</w:t>
      </w:r>
    </w:p>
    <w:p>
      <w:pPr>
        <w:spacing w:after="60"/>
        <w:ind w:firstLine="567"/>
        <w:jc w:val="both"/>
      </w:pPr>
      <w:r>
        <w:rPr>
          <w:rFonts w:ascii="Arial" w:cs="Arial" w:eastAsia="Arial" w:hAnsi="Arial"/>
          <w:sz w:val="24"/>
          <w:szCs w:val="24"/>
        </w:rPr>
        <w:t xml:space="preserve">- укрепление национальной валюты по отношению к доллару США (по состоянию на 31 марта 2016 года, укрепление сома на 7,5%) и валютам государств-членов ЕАЭС (в среднем укрепление составило 1,2%);</w:t>
      </w:r>
    </w:p>
    <w:p>
      <w:pPr>
        <w:spacing w:after="60"/>
        <w:ind w:firstLine="567"/>
        <w:jc w:val="both"/>
      </w:pPr>
      <w:r>
        <w:rPr>
          <w:rFonts w:ascii="Arial" w:cs="Arial" w:eastAsia="Arial" w:hAnsi="Arial"/>
          <w:sz w:val="24"/>
          <w:szCs w:val="24"/>
        </w:rPr>
        <w:t xml:space="preserve">- снижение кредитов, предоставляемых экономике, на 3,1% (на 31 марта 2016 года по сравнению с 2015 годом), что было обусловлено главным образом сокращением доли валютных кредитов. При этом объем кредитов в национальной валюте в январе-марте 2016 года увеличился на 13,4%.</w:t>
      </w:r>
    </w:p>
    <w:p>
      <w:pPr>
        <w:spacing w:after="60"/>
        <w:ind w:firstLine="567"/>
        <w:jc w:val="both"/>
      </w:pPr>
      <w:r>
        <w:rPr>
          <w:rFonts w:ascii="Arial" w:cs="Arial" w:eastAsia="Arial" w:hAnsi="Arial"/>
          <w:sz w:val="24"/>
          <w:szCs w:val="24"/>
        </w:rPr>
        <w:t xml:space="preserve">Индекс потребительских цен, характеризующий уровень инфляции, составил 98,8% (март 2016 года к декабрю предыдущего года), аналогичный показатель в 2015 году составил 101,5%. Среднегодовое значение инфляции (январь-март 2016 года к январю-марту 2015 года) составило 101,2%, тогда как за январь-март 2015 года составляло 110,3%.</w:t>
      </w:r>
    </w:p>
    <w:p>
      <w:pPr>
        <w:spacing w:after="60"/>
        <w:ind w:firstLine="567"/>
        <w:jc w:val="both"/>
      </w:pPr>
      <w:r>
        <w:rPr>
          <w:rFonts w:ascii="Arial" w:cs="Arial" w:eastAsia="Arial" w:hAnsi="Arial"/>
          <w:sz w:val="24"/>
          <w:szCs w:val="24"/>
        </w:rPr>
        <w:t xml:space="preserve">За отчетный период основной вклад ((-)1,7 процентных пункта) в снижение потребительских цен внесли "Продовольственные товары" (на 3,5% с начала года), которые занимают основную долю в потребительской корзине (47,4%). Снижение цен на продовольствие происходило ввиду роста сельскохозяйственного производства в Кыргызской Республике в 2015 году, благоприятной ценовой ситуации на мировых продовольственных рынках и положительной динамики производства продукции животноводства.</w:t>
      </w:r>
    </w:p>
    <w:p>
      <w:pPr>
        <w:spacing w:after="60"/>
        <w:ind w:firstLine="567"/>
        <w:jc w:val="both"/>
      </w:pPr>
      <w:r>
        <w:rPr>
          <w:rFonts w:ascii="Arial" w:cs="Arial" w:eastAsia="Arial" w:hAnsi="Arial"/>
          <w:sz w:val="24"/>
          <w:szCs w:val="24"/>
        </w:rPr>
        <w:t xml:space="preserve">На сложившийся уровень цен как сдерживающее, так и возрастающее влияние оказали такие ключевые факторы, как:</w:t>
      </w:r>
    </w:p>
    <w:p>
      <w:pPr>
        <w:spacing w:after="60"/>
        <w:ind w:firstLine="567"/>
        <w:jc w:val="both"/>
      </w:pPr>
      <w:r>
        <w:rPr>
          <w:rFonts w:ascii="Arial" w:cs="Arial" w:eastAsia="Arial" w:hAnsi="Arial"/>
          <w:sz w:val="24"/>
          <w:szCs w:val="24"/>
        </w:rPr>
        <w:t xml:space="preserve">- сезонные колебания цен на продовольственные товары (фрукты, овощи);</w:t>
      </w:r>
    </w:p>
    <w:p>
      <w:pPr>
        <w:spacing w:after="60"/>
        <w:ind w:firstLine="567"/>
        <w:jc w:val="both"/>
      </w:pPr>
      <w:r>
        <w:rPr>
          <w:rFonts w:ascii="Arial" w:cs="Arial" w:eastAsia="Arial" w:hAnsi="Arial"/>
          <w:sz w:val="24"/>
          <w:szCs w:val="24"/>
        </w:rPr>
        <w:t xml:space="preserve">- укрепление национальной валюты по отношению к доллару США (по состоянию на 31 марта 2016 года, укрепление сома - на 7,5%) и валютам государств-членов ЕАЭС (в среднем укрепление составило 1,2%);</w:t>
      </w:r>
    </w:p>
    <w:p>
      <w:pPr>
        <w:spacing w:after="60"/>
        <w:ind w:firstLine="567"/>
        <w:jc w:val="both"/>
      </w:pPr>
      <w:r>
        <w:rPr>
          <w:rFonts w:ascii="Arial" w:cs="Arial" w:eastAsia="Arial" w:hAnsi="Arial"/>
          <w:sz w:val="24"/>
          <w:szCs w:val="24"/>
        </w:rPr>
        <w:t xml:space="preserve">- снижение мировых цен на продовольствие (по данным Продовольственной и Сельскохозяйственной Организации ООН (далее - ФАО) от 7 апреля 2016 года, индекс продовольственных цен в марте сложился почти на 21 пункт ниже мартовского значения 2015 года. Среднегодовое значение индекса составило 151,0 пункта, что почти на 12% ниже, чем в 2015 году);</w:t>
      </w:r>
    </w:p>
    <w:p>
      <w:pPr>
        <w:spacing w:after="60"/>
        <w:ind w:firstLine="567"/>
        <w:jc w:val="both"/>
      </w:pPr>
      <w:r>
        <w:rPr>
          <w:rFonts w:ascii="Arial" w:cs="Arial" w:eastAsia="Arial" w:hAnsi="Arial"/>
          <w:sz w:val="24"/>
          <w:szCs w:val="24"/>
        </w:rPr>
        <w:t xml:space="preserve">- изменение тарифов на жилищно-коммунальные услуга (в соответствии со Среднесрочной тарифной политикой Кыргызской Республики на электрическую и тепловую энергию на 2014-2017 годы (постановление Правительства Кыргызской Республики от 20 ноября 2014 года № 660), приказы Государственного агентства по регулированию топливно-энергетического комплекса при Правительстве Кыргызской Республики "О тарифах на природный газ для промышленных предприятий, коммерческих структур и бюджетных организаций" и "О тарифах на природный газ для населения" от 3 октября 2014 года № 25 и № 27);</w:t>
      </w:r>
    </w:p>
    <w:p>
      <w:pPr>
        <w:spacing w:after="60"/>
        <w:ind w:firstLine="567"/>
        <w:jc w:val="both"/>
      </w:pPr>
      <w:r>
        <w:rPr>
          <w:rFonts w:ascii="Arial" w:cs="Arial" w:eastAsia="Arial" w:hAnsi="Arial"/>
          <w:sz w:val="24"/>
          <w:szCs w:val="24"/>
        </w:rPr>
        <w:t xml:space="preserve">- снижение цен на горюче-смазочные материалы на внутреннем рынке (на изменение цены оказало влияние падение отпускных цен на российском рынке нефтепродуктов, на что повлияло на увеличение предложения на рынке после завершения ремонтно-профилактических работ на нефтеперерабатывающем заводе, а также за счет сезонного сокращения спроса на топливо. Помимо этого, оптово-отпускные цены заводов снизились в связи с падением цен на сырую нефть).</w:t>
      </w:r>
    </w:p>
    <w:p>
      <w:pPr>
        <w:spacing w:after="60"/>
        <w:ind w:firstLine="567"/>
        <w:jc w:val="both"/>
      </w:pPr>
      <w:r>
        <w:rPr>
          <w:rFonts w:ascii="Arial" w:cs="Arial" w:eastAsia="Arial" w:hAnsi="Arial"/>
          <w:sz w:val="24"/>
          <w:szCs w:val="24"/>
        </w:rPr>
        <w:t xml:space="preserve">Суммарные активы банковского сектора на 31 марта 2016 года уменьшились с начала года на 0,7% и составили 176,7 млрд. сомов. Общая депозитная база банковского сектора, без учета депозитов банков и других финансово-кредитных учреждений, составила 94,2 млрд. сомов, уменьшившись с начала года на 6,0%, в том числе депозиты юридических лиц составили 34,4 млрд. сомов, снизившись с начала года на 13,5%, и депозиты физических лиц составили 46,0 млрд. сомов, уменьшившись с начала года на 2,3%. Объем кредитного портфеля банковского сектора по состоянию на 31 марта 2016 года составил 91,4 млрд. сомов, уменьшившись с начала года на 2,7% (на конец 2015 года - 94,0 млрд. сомов).</w:t>
      </w:r>
    </w:p>
    <w:p>
      <w:pPr>
        <w:spacing w:after="60"/>
        <w:ind w:firstLine="567"/>
        <w:jc w:val="both"/>
      </w:pPr>
      <w:r>
        <w:rPr>
          <w:rFonts w:ascii="Arial" w:cs="Arial" w:eastAsia="Arial" w:hAnsi="Arial"/>
          <w:sz w:val="24"/>
          <w:szCs w:val="24"/>
        </w:rPr>
        <w:t xml:space="preserve">Общий объем доходов государственного бюджета за январь-март 2016 года составил 32337,9 млн. сомов (41,0% к ВВП), или 104,0% от установленного планового задания. В сравнении с аналогичным периодом 2015 года общие доходы бюджета возросли на 37,3% в связи с ростом как налоговых, неналоговых доходов, так и полученных официальных трансфертов. За январь-март 2016 года расходная часть республиканского бюджета исполнена в сумме 26219,4 млн. сомов (37,6% к ВВП), или на 82,1% от плана в сумме 31917,4 млн. сомов. В сравнении с аналогичным периодом 2015 года общие расходы увеличились на 2827,4 млн. сомов, или на 11,0%. За январь-март 2016 года удельный вес расходов из республиканского бюджета на социальную сферу (10031,8 млн. сомов) составил 44,2%, всего направлено на 104,2 млн. сомов больше, чем за аналогичный период прошлого года.</w:t>
      </w:r>
    </w:p>
    <w:p>
      <w:pPr>
        <w:spacing w:after="60"/>
        <w:ind w:firstLine="567"/>
        <w:jc w:val="both"/>
      </w:pPr>
      <w:r>
        <w:rPr>
          <w:rFonts w:ascii="Arial" w:cs="Arial" w:eastAsia="Arial" w:hAnsi="Arial"/>
          <w:sz w:val="24"/>
          <w:szCs w:val="24"/>
        </w:rPr>
        <w:t xml:space="preserve">В области социальной защиты населения Правительством Кыргызской Республики в январе-марте 2016 года проводилась последовательная работа, направленная на повышение уровня жизни и улучшение положения социально незащищенных категорий граждан (дети и семьи, находящиеся в трудной жизненной ситуации, лица с ограниченными возможностями здоровья (ЛOB3), пожилые граждане) с учетом реальных возможностей государства. На выплату государственных пособий из средств республиканского бюджета профинансированы денежные средства на общую сумму 1360,4 млн. сомов (рост 21,6%), из них на выплату ежемесячных пособий малообеспеченным семьям (далее - ЕПМС) - 761,6 млн. сомов, ежемесячных социальных пособий (далее - ЕСП) - 598,8 млн. сомов. За январь-март 2016 года вся потребная сумма на выплату пенсий и иных социальных выплат в объеме 8741,8 млн. сомов профинансирована в полном объеме. Задолженности по выплате пенсий по состоянию на 1 апреля 2015 года не имеется.</w:t>
      </w:r>
    </w:p>
    <w:p>
      <w:pPr>
        <w:spacing w:after="60"/>
        <w:ind w:firstLine="567"/>
        <w:jc w:val="both"/>
      </w:pPr>
      <w:r>
        <w:rPr>
          <w:rFonts w:ascii="Arial" w:cs="Arial" w:eastAsia="Arial" w:hAnsi="Arial"/>
          <w:sz w:val="24"/>
          <w:szCs w:val="24"/>
        </w:rPr>
        <w:t xml:space="preserve">Среднемесячная номинальная заработная плата одного работника в январе-марте 2016 года (без учета малых предприятий) составила 13544,0 сомов и в реальном выражении, с учетом инфляции увеличилась на 11,9%. Величина прожиточного минимума в I квартале 2016 года составила 4828,76 сома и по сравнению с соответствующим периодом прошлого года сократилась на 10,2%.</w:t>
      </w:r>
    </w:p>
    <w:p>
      <w:pPr>
        <w:spacing w:after="200" w:before="200"/>
        <w:jc w:val="center"/>
      </w:pPr>
      <w:r>
        <w:rPr>
          <w:rFonts w:ascii="Arial" w:cs="Arial" w:eastAsia="Arial" w:hAnsi="Arial"/>
          <w:b/>
          <w:bCs/>
          <w:sz w:val="24"/>
          <w:szCs w:val="24"/>
        </w:rPr>
        <w:t xml:space="preserve">3. Факторы и условия социально-экономического развития Кыргызской Республики</w:t>
      </w:r>
    </w:p>
    <w:p>
      <w:pPr>
        <w:spacing w:after="60"/>
        <w:ind w:firstLine="567"/>
        <w:jc w:val="both"/>
      </w:pPr>
      <w:r>
        <w:rPr>
          <w:rFonts w:ascii="Arial" w:cs="Arial" w:eastAsia="Arial" w:hAnsi="Arial"/>
          <w:sz w:val="24"/>
          <w:szCs w:val="24"/>
        </w:rPr>
        <w:t xml:space="preserve">Экономика Кыргызской Республики является самой открытой экономикой региона и характеризуется высокой зависимостью от производства золота, денежных переводов работников-мигрантов, транзитной торговли и внешней помощи. Эта зависимость обусловливает уязвимость экономики от внешних и внутренних потрясений, в результате экономическая ситуация Кыргызстана остается недостаточно устойчивой.</w:t>
      </w:r>
    </w:p>
    <w:p>
      <w:pPr>
        <w:spacing w:after="60"/>
        <w:ind w:firstLine="567"/>
        <w:jc w:val="both"/>
      </w:pPr>
      <w:r>
        <w:rPr>
          <w:rFonts w:ascii="Arial" w:cs="Arial" w:eastAsia="Arial" w:hAnsi="Arial"/>
          <w:sz w:val="24"/>
          <w:szCs w:val="24"/>
        </w:rPr>
        <w:t xml:space="preserve">Социально-экономическое развитие Кыргызской Республики происходит в условиях продолжающегося замедления экономического роста стран - основных торговых партнеров и стран-членов ЕАЭС, что отражается на отечественной экономике через каналы торговли и объемы притока денежных переводов в страну. Продолжает оказывать влияние сохранение низких цен на нефть, что влияет на экономическую активность в странах - основных торговых партнерах Кыргызской Республики.</w:t>
      </w:r>
    </w:p>
    <w:p>
      <w:pPr>
        <w:spacing w:after="60"/>
        <w:ind w:firstLine="567"/>
        <w:jc w:val="both"/>
      </w:pPr>
      <w:r>
        <w:rPr>
          <w:rFonts w:ascii="Arial" w:cs="Arial" w:eastAsia="Arial" w:hAnsi="Arial"/>
          <w:sz w:val="24"/>
          <w:szCs w:val="24"/>
        </w:rPr>
        <w:t xml:space="preserve">В связи с этим ожидаемое развитие экономики в 2016 году и прогноз на 2017 год и 2018-2019 годы базируются на гипотезе сохранения внешних и внутренних факторов/рисков, которые будут оказывать влияние на развитие экономики страны, в том числе на изменения внешнеэкономической деятельности в условиях функционирования Кыргызской Республики в интеграционном объединении ЕАЭС, сохраняющейся геополитической нестабильности, в частности:</w:t>
      </w:r>
    </w:p>
    <w:p>
      <w:pPr>
        <w:spacing w:after="60"/>
        <w:ind w:firstLine="567"/>
        <w:jc w:val="both"/>
      </w:pPr>
      <w:r>
        <w:rPr>
          <w:rFonts w:ascii="Arial" w:cs="Arial" w:eastAsia="Arial" w:hAnsi="Arial"/>
          <w:sz w:val="24"/>
          <w:szCs w:val="24"/>
        </w:rPr>
        <w:t xml:space="preserve">- неустойчивость развития мировой экономики. Восстановление мировой экономики замедлилось, и прогноз по разным странам остается неустойчивым и во многом слабее, чем в предыдущие два десятилетия. Мировая торговля переживает критический период, ее темпы роста ниже роста глобальной экономики, в то время как потрясения на развивающихся и финансовых рынках значительно возросли;</w:t>
      </w:r>
    </w:p>
    <w:p>
      <w:pPr>
        <w:spacing w:after="60"/>
        <w:ind w:firstLine="567"/>
        <w:jc w:val="both"/>
      </w:pPr>
      <w:r>
        <w:rPr>
          <w:rFonts w:ascii="Arial" w:cs="Arial" w:eastAsia="Arial" w:hAnsi="Arial"/>
          <w:sz w:val="24"/>
          <w:szCs w:val="24"/>
        </w:rPr>
        <w:t xml:space="preserve">- волатильность цены на сырую нефть, обусловленная низкой мировой производственной активностью, снижением спроса вследствие замедления роста доходов, ростом мирового предложения. Немаловажным фактором являются ожидания, которые также имеют негативную направленность (заседание организации стран - экспортеров нефти (далее - ОПЕК) 2 июня 2016 года, предстоящая встреча стран-экспортеров "черного золота" из ОПЕК (добывают около 40% от мирового показателя) может негативно отразиться, если по результатам мероприятия не будет принято никаких решений в отношении будущей политики ОПЕК);</w:t>
      </w:r>
    </w:p>
    <w:p>
      <w:pPr>
        <w:spacing w:after="60"/>
        <w:ind w:firstLine="567"/>
        <w:jc w:val="both"/>
      </w:pPr>
      <w:r>
        <w:rPr>
          <w:rFonts w:ascii="Arial" w:cs="Arial" w:eastAsia="Arial" w:hAnsi="Arial"/>
          <w:sz w:val="24"/>
          <w:szCs w:val="24"/>
        </w:rPr>
        <w:t xml:space="preserve">- постепенное исчерпание существующих конкурентных преимуществ государств-членов ЕАЭС (связанных прежде всего с сырьевой ориентацией экономик) и необходимость формирования новых преимуществ;</w:t>
      </w:r>
    </w:p>
    <w:p>
      <w:pPr>
        <w:spacing w:after="60"/>
        <w:ind w:firstLine="567"/>
        <w:jc w:val="both"/>
      </w:pPr>
      <w:r>
        <w:rPr>
          <w:rFonts w:ascii="Arial" w:cs="Arial" w:eastAsia="Arial" w:hAnsi="Arial"/>
          <w:sz w:val="24"/>
          <w:szCs w:val="24"/>
        </w:rPr>
        <w:t xml:space="preserve">- волатильность важнейших товарных рынков (цен на золото, ртуть, медь, продукты), которая является следствием роста предложения по большинству металлов и снижения спроса со стороны Китая, который являлся основным их покупателям с 2000 года. Цены на мировом рынке продуктов питания обычно более волатильные, так как предложение зависит от погодных условий. В 2015 году основной причиной низких цен на продовольствие явился рекордный урожай зерновых культур;</w:t>
      </w:r>
    </w:p>
    <w:p>
      <w:pPr>
        <w:spacing w:after="60"/>
        <w:ind w:firstLine="567"/>
        <w:jc w:val="both"/>
      </w:pPr>
      <w:r>
        <w:rPr>
          <w:rFonts w:ascii="Arial" w:cs="Arial" w:eastAsia="Arial" w:hAnsi="Arial"/>
          <w:sz w:val="24"/>
          <w:szCs w:val="24"/>
        </w:rPr>
        <w:t xml:space="preserve">- продолжающаяся тенденция оттока капитала (из Российской Федерации, по данным Министерства финансов Российской Федерации, в 2016 году прогнозируется снижение оттока капитала вдвое, который составит 40 млрд. долл. США и снизится до 30 млрд. долл. США в 2017 году), которая приводит к ослаблению позиций национальных валют по отношению к доллару США;</w:t>
      </w:r>
    </w:p>
    <w:p>
      <w:pPr>
        <w:spacing w:after="60"/>
        <w:ind w:firstLine="567"/>
        <w:jc w:val="both"/>
      </w:pPr>
      <w:r>
        <w:rPr>
          <w:rFonts w:ascii="Arial" w:cs="Arial" w:eastAsia="Arial" w:hAnsi="Arial"/>
          <w:sz w:val="24"/>
          <w:szCs w:val="24"/>
        </w:rPr>
        <w:t xml:space="preserve">- снижение/увеличение в долларовом эквиваленте чистого притока денежных переводов физических лиц, осуществленных через системы переводов;</w:t>
      </w:r>
    </w:p>
    <w:p>
      <w:pPr>
        <w:spacing w:after="60"/>
        <w:ind w:firstLine="567"/>
        <w:jc w:val="both"/>
      </w:pPr>
      <w:r>
        <w:rPr>
          <w:rFonts w:ascii="Arial" w:cs="Arial" w:eastAsia="Arial" w:hAnsi="Arial"/>
          <w:sz w:val="24"/>
          <w:szCs w:val="24"/>
        </w:rPr>
        <w:t xml:space="preserve">- сохранение введенных санкций (в отношении страны - торгового партнера Кыргызской Республики - Российской Федерации), которое влияет не только на объемы внешней торговли, но и на ее структуру. Ввиду существенной роли экономики России в ЕАЭС расширение и пролонгация санкционного давления против России ведет к развитию вторичных негативных эффектов в государствах - членах ЕАЭС: сокращение взаимного экспорта вследствие сокращения внутреннего спроса России, сокращение объема денежных переводов трудовых мигрантов, снижение инвестиционной активности, финансовая нестабильность и усиление оттока капитала;</w:t>
      </w:r>
    </w:p>
    <w:p>
      <w:pPr>
        <w:spacing w:after="60"/>
        <w:ind w:firstLine="567"/>
        <w:jc w:val="both"/>
      </w:pPr>
      <w:r>
        <w:rPr>
          <w:rFonts w:ascii="Arial" w:cs="Arial" w:eastAsia="Arial" w:hAnsi="Arial"/>
          <w:sz w:val="24"/>
          <w:szCs w:val="24"/>
        </w:rPr>
        <w:t xml:space="preserve">- неопределенность ситуации на фондовом рынке Китая, которая началась с начала 2016 года (справочно: 4 января 2016 года был понижен курс национальной валюты Китайской Народной Республики по отношению к доллару. Впервые за 4,5 года соотношение валют оказалось слабее, чем 6,5 юаня за доллар. 25 февраля 2016 года фондовые индексы в Китае снизились более чем на 6%. 29 февраля 2016 года произошел новый обвал фондового рынка Китая. В начале марта 2016 года Международное рейтинговое агентство "Moody's" приняло решение о понижении прогноза по кредитному рейтингу Китая со "стабильного" до "негативного"). Китайский фондовый рынок перестал падать в марте-апреле 2016 года и даже продемонстрировал небольшой рост. В апреле 2016 года фондовый рынок Китая пережил сильнейший рост спроса. Объемы торговли значительно возросли, но спекулятивная лихорадка быстро закончилась: ежедневный совокупный объем торгов по контрактам более чем в 4 раза превышал объем открытых позиций. В начале июня 2016 года разница составляла всего 1,5 раза. Для мирового рынка эта ситуация опасна крайне высокими рисками очередного биржевого краха;</w:t>
      </w:r>
    </w:p>
    <w:p>
      <w:pPr>
        <w:spacing w:after="60"/>
        <w:ind w:firstLine="567"/>
        <w:jc w:val="both"/>
      </w:pPr>
      <w:r>
        <w:rPr>
          <w:rFonts w:ascii="Arial" w:cs="Arial" w:eastAsia="Arial" w:hAnsi="Arial"/>
          <w:sz w:val="24"/>
          <w:szCs w:val="24"/>
        </w:rPr>
        <w:t xml:space="preserve">- китайский товарный рынок переживает серьезное крушение из-за введение заградительных пошлин со стороны США (размер пошлины составил 522%, поставки из Китая в США фактически оказались заблокированы);</w:t>
      </w:r>
    </w:p>
    <w:p>
      <w:pPr>
        <w:spacing w:after="60"/>
        <w:ind w:firstLine="567"/>
        <w:jc w:val="both"/>
      </w:pPr>
      <w:r>
        <w:rPr>
          <w:rFonts w:ascii="Arial" w:cs="Arial" w:eastAsia="Arial" w:hAnsi="Arial"/>
          <w:sz w:val="24"/>
          <w:szCs w:val="24"/>
        </w:rPr>
        <w:t xml:space="preserve">- ожидание возможного повышения базовой процентной ставки Федеральной резервной системой США, что может привести к укреплению долл. США к валютам других стран и росту цен;</w:t>
      </w:r>
    </w:p>
    <w:p>
      <w:pPr>
        <w:spacing w:after="60"/>
        <w:ind w:firstLine="567"/>
        <w:jc w:val="both"/>
      </w:pPr>
      <w:r>
        <w:rPr>
          <w:rFonts w:ascii="Arial" w:cs="Arial" w:eastAsia="Arial" w:hAnsi="Arial"/>
          <w:sz w:val="24"/>
          <w:szCs w:val="24"/>
        </w:rPr>
        <w:t xml:space="preserve">- возможность возникновения неблагоприятных природно-климатических условий.</w:t>
      </w:r>
    </w:p>
    <w:p>
      <w:pPr>
        <w:spacing w:after="60"/>
        <w:ind w:firstLine="567"/>
        <w:jc w:val="both"/>
      </w:pPr>
      <w:r>
        <w:rPr>
          <w:rFonts w:ascii="Arial" w:cs="Arial" w:eastAsia="Arial" w:hAnsi="Arial"/>
          <w:sz w:val="24"/>
          <w:szCs w:val="24"/>
        </w:rPr>
        <w:t xml:space="preserve">Вкупе перечисленные факторы негативного влияния на экономики государств-членов ЕАЭС, а также риски распространения кризисных явлений могут поставить под угрозу устойчивое экономическое развитие государств-членов.</w:t>
      </w:r>
    </w:p>
    <w:p>
      <w:pPr>
        <w:spacing w:after="60"/>
        <w:ind w:firstLine="567"/>
        <w:jc w:val="both"/>
      </w:pPr>
      <w:r>
        <w:rPr>
          <w:rFonts w:ascii="Arial" w:cs="Arial" w:eastAsia="Arial" w:hAnsi="Arial"/>
          <w:sz w:val="24"/>
          <w:szCs w:val="24"/>
        </w:rPr>
        <w:t xml:space="preserve">На фоне таких условий в мировой экономике сохраняется тенденция замедления экономического роста. На 2016 год рост мирового ВВП пересмотрен (прогноз МВФ в апреле 2016 года) с 3,6% до 3,2%, еврозоны - с 1,6% до 1,5%. Экономический рост в России (по данным Министерства экономического развития Российской Федерации от 6 мая 2016 года) тоже был пересмотрен в сторону снижения с 0,7% до (-)0,2%, Казахстане (по данным Министерства национальной экономики Республики Казахстан от 23 февраля 2016 года, протокол № 6) остался на уровне 0,5%.</w:t>
      </w:r>
    </w:p>
    <w:p>
      <w:pPr>
        <w:spacing w:after="60"/>
        <w:ind w:firstLine="567"/>
        <w:jc w:val="both"/>
      </w:pPr>
      <w:r>
        <w:rPr>
          <w:rFonts w:ascii="Arial" w:cs="Arial" w:eastAsia="Arial" w:hAnsi="Arial"/>
          <w:sz w:val="24"/>
          <w:szCs w:val="24"/>
        </w:rPr>
        <w:t xml:space="preserve">По оценке международных институтов, экономический рост в странах - основных торговых партнерах Кыргызской Республики (по данным МВФ "World Economic Outlook Databases April 2016") тоже пересмотрен в сторону снижения (пересмотр апрель 2016 года): в России - на 1,2 п.п. (с 99,4% до 98,2%), Казахстане - на 2,3 п.п. (с 102,4% до 100,1%), Армении - на 0,3 п.п. (с 102,2% до 101,9%), Республике Беларусь - на 0,5 п.п. (97,8% до 97,3%), в Китае - в сторону повышения на 0,2 п.п. (106,3% до 106,5%).</w:t>
      </w:r>
    </w:p>
    <w:p>
      <w:pPr>
        <w:spacing w:after="60" w:before="120"/>
        <w:ind w:firstLine="567"/>
        <w:jc w:val="right"/>
      </w:pPr>
      <w:r>
        <w:rPr>
          <w:rFonts w:ascii="Arial" w:cs="Arial" w:eastAsia="Arial" w:hAnsi="Arial"/>
          <w:sz w:val="24"/>
          <w:szCs w:val="24"/>
        </w:rPr>
        <w:t xml:space="preserve">Таблица 6</w:t>
      </w:r>
    </w:p>
    <w:p>
      <w:pPr>
        <w:spacing w:after="200" w:before="200"/>
        <w:jc w:val="center"/>
      </w:pPr>
      <w:r>
        <w:rPr>
          <w:rFonts w:ascii="Arial" w:cs="Arial" w:eastAsia="Arial" w:hAnsi="Arial"/>
          <w:b/>
          <w:bCs/>
          <w:sz w:val="32"/>
          <w:szCs w:val="32"/>
        </w:rPr>
        <w:t xml:space="preserve">Темпы роста мировой экономики государств-членов ЕАЭС, в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38"/>
        <w:gridCol w:w="773"/>
        <w:gridCol w:w="979"/>
        <w:gridCol w:w="1137"/>
        <w:gridCol w:w="1137"/>
        <w:gridCol w:w="1137"/>
        <w:gridCol w:w="1137"/>
        <w:gridCol w:w="1119"/>
        <w:gridCol w:w="1119"/>
      </w:tblGrid>
      <w:tr>
        <w:tc>
          <w:tcPr>
            <w:tcW w:type="dxa" w:w="163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Государства</w:t>
            </w:r>
          </w:p>
        </w:tc>
        <w:tc>
          <w:tcPr>
            <w:tcW w:type="dxa" w:w="77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 факт</w:t>
            </w:r>
          </w:p>
        </w:tc>
        <w:tc>
          <w:tcPr>
            <w:tcW w:type="dxa" w:w="97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 предв. факт</w:t>
            </w:r>
          </w:p>
        </w:tc>
        <w:tc>
          <w:tcPr>
            <w:tcW w:type="dxa" w:w="227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прогноз</w:t>
            </w:r>
          </w:p>
        </w:tc>
        <w:tc>
          <w:tcPr>
            <w:tcW w:type="dxa" w:w="227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 прогноз</w:t>
            </w:r>
          </w:p>
        </w:tc>
        <w:tc>
          <w:tcPr>
            <w:tcW w:type="dxa" w:w="111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прогноз</w:t>
            </w:r>
          </w:p>
        </w:tc>
        <w:tc>
          <w:tcPr>
            <w:tcW w:type="dxa" w:w="111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 прогноз</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 октябрь 2015 г.</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 апрель 2016 г.</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 октябрь 2015 г.</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 апрель 2016 г.</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6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Мировая экономика</w:t>
            </w:r>
          </w:p>
        </w:tc>
        <w:tc>
          <w:tcPr>
            <w:tcW w:type="dxa" w:w="7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1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1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r>
      <w:tr>
        <w:tc>
          <w:tcPr>
            <w:tcW w:type="dxa" w:w="16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Еврозона</w:t>
            </w:r>
          </w:p>
        </w:tc>
        <w:tc>
          <w:tcPr>
            <w:tcW w:type="dxa" w:w="7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1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1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r>
      <w:tr>
        <w:tc>
          <w:tcPr>
            <w:tcW w:type="dxa" w:w="16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Китайская Народная Республика</w:t>
            </w:r>
          </w:p>
        </w:tc>
        <w:tc>
          <w:tcPr>
            <w:tcW w:type="dxa" w:w="7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11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1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r>
      <w:tr>
        <w:tc>
          <w:tcPr>
            <w:tcW w:type="dxa" w:w="16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7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11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1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16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Казахстан</w:t>
            </w:r>
          </w:p>
        </w:tc>
        <w:tc>
          <w:tcPr>
            <w:tcW w:type="dxa" w:w="7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1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1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r>
      <w:tr>
        <w:tc>
          <w:tcPr>
            <w:tcW w:type="dxa" w:w="16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Беларусь</w:t>
            </w:r>
          </w:p>
        </w:tc>
        <w:tc>
          <w:tcPr>
            <w:tcW w:type="dxa" w:w="7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1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11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16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Армения</w:t>
            </w:r>
          </w:p>
        </w:tc>
        <w:tc>
          <w:tcPr>
            <w:tcW w:type="dxa" w:w="7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1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1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bl>
    <w:p>
      <w:pPr>
        <w:spacing w:after="60" w:before="120"/>
        <w:ind w:firstLine="567"/>
        <w:jc w:val="both"/>
      </w:pPr>
      <w:r>
        <w:rPr>
          <w:rFonts w:ascii="Arial" w:cs="Arial" w:eastAsia="Arial" w:hAnsi="Arial"/>
          <w:sz w:val="24"/>
          <w:szCs w:val="24"/>
        </w:rPr>
        <w:t xml:space="preserve">Мировая экономика. Экономический рост в мире продолжается, но более замедленными темпами, что оставляет мировую экономику в большей степени подверженной рискам. Слабость развивающихся рынков и коррекция капитальных затрат энергетического сектора продолжают оказывать давление на рост мировой экономики. Мировой рост в 2016 году ожидается невысоким и составит 3,2%, 2017 году - на 3,5%, 2018-2019 годы прогнозируется в среднем на уровне 3,7%. Оживление мировой активности будет происходить более медленными темпами, особенно в странах с формирующимся рынком и развивающихся странах.</w:t>
      </w:r>
    </w:p>
    <w:p>
      <w:pPr>
        <w:spacing w:after="60"/>
        <w:ind w:firstLine="567"/>
        <w:jc w:val="both"/>
      </w:pPr>
      <w:r>
        <w:rPr>
          <w:rFonts w:ascii="Arial" w:cs="Arial" w:eastAsia="Arial" w:hAnsi="Arial"/>
          <w:sz w:val="24"/>
          <w:szCs w:val="24"/>
        </w:rPr>
        <w:t xml:space="preserve">На страны с формирующимся рынком и развивающиеся страны все еще приходится львиная доля прогнозируемого мирового роста, но перспективы стран остаются неровными и в целом хуже, чем в последние два десятилетия. В частности, несколько крупных стран с формирующимся рынком, включая Бразилию и Россию, все еще переживают глубокий спад. Другие страны, включая ряд экспортеров нефти, также находятся в сложной макроэкономической ситуации с резким ухудшением условий торговли и ужесточением внешних финансовых условий.</w:t>
      </w:r>
    </w:p>
    <w:p>
      <w:pPr>
        <w:spacing w:after="60"/>
        <w:ind w:firstLine="567"/>
        <w:jc w:val="both"/>
      </w:pPr>
      <w:r>
        <w:rPr>
          <w:rFonts w:ascii="Arial" w:cs="Arial" w:eastAsia="Arial" w:hAnsi="Arial"/>
          <w:sz w:val="24"/>
          <w:szCs w:val="24"/>
        </w:rPr>
        <w:t xml:space="preserve">В странах с развитой экономикой темпы роста, по прогнозу, будут оставаться невысокими, на уровне фактических темпов 2015 года. Неблагоприятные демографические тенденции, низкий рост производительности и наследие мирового финансового кризиса продолжают препятствовать более существенному оживлению активности. Очень мягкая денежно-кредитная политика и снижение цен на нефть будут поддерживать внутренний спрос, но все еще слабый внешний спрос, дальнейшее укрепление валют и некоторое ужесточение финансовых условий будут сдерживать процесс восстановления.</w:t>
      </w:r>
    </w:p>
    <w:p>
      <w:pPr>
        <w:spacing w:after="60"/>
        <w:ind w:firstLine="567"/>
        <w:jc w:val="both"/>
      </w:pPr>
      <w:r>
        <w:rPr>
          <w:rFonts w:ascii="Arial" w:cs="Arial" w:eastAsia="Arial" w:hAnsi="Arial"/>
          <w:sz w:val="24"/>
          <w:szCs w:val="24"/>
        </w:rPr>
        <w:t xml:space="preserve">В Еврозоне вызывает обеспокоенность риск утраты контроля над инфляционными ожиданиями в условиях чрезмерной задолженности в ряде стран. Кроме этого, сдерживающими факторами для европейской экономики будут высокая суверенная долговая нагрузка, отягощенные необслуживаемыми кредитами балансы крупнейших европейских банков, большая доля безработного населения. Однако экономики стран Европы будут расти в целом стабильными темпами: в 2016 году - на 1,5%, в 2017 году - на 1,6%, в 2018-2019 годы - в среднем на 1,6%.</w:t>
      </w:r>
    </w:p>
    <w:p>
      <w:pPr>
        <w:spacing w:after="60"/>
        <w:ind w:firstLine="567"/>
        <w:jc w:val="both"/>
      </w:pPr>
      <w:r>
        <w:rPr>
          <w:rFonts w:ascii="Arial" w:cs="Arial" w:eastAsia="Arial" w:hAnsi="Arial"/>
          <w:sz w:val="24"/>
          <w:szCs w:val="24"/>
        </w:rPr>
        <w:t xml:space="preserve">Экономика Китая будет оставаться на траектории снижения темпов роста ВВП при существенно растущих рисках более сильного падения, как для Китая, так и для мировой экономики. Это может оказать дестабилизирующее влияние на финансовые системы ведущих стран, объемы мировой торговли и динамику цен на ресурсных рынках. В 2016 году динамика экономики Китая замедлится до 6,5% под влиянием охлаждения рынка недвижимости, сокращения объемов кредитования предприятий и замедления структурной трансформации инвестиционной активности. Рост будет минимальным с 1990 года, но экономика Китая все равно останется высоко капиталоемкой.</w:t>
      </w:r>
    </w:p>
    <w:p>
      <w:pPr>
        <w:spacing w:after="60"/>
        <w:ind w:firstLine="567"/>
        <w:jc w:val="both"/>
      </w:pPr>
      <w:r>
        <w:rPr>
          <w:rFonts w:ascii="Arial" w:cs="Arial" w:eastAsia="Arial" w:hAnsi="Arial"/>
          <w:sz w:val="24"/>
          <w:szCs w:val="24"/>
        </w:rPr>
        <w:t xml:space="preserve">В ближайшее время любые трудности в экономике Китая будут иметь последствия для всего мира, включая Россию, вследствие влияния на торговлю, цены на биржевые товары и могут вызвать более общее снижение темпов роста в мировой экономике.</w:t>
      </w:r>
    </w:p>
    <w:p>
      <w:pPr>
        <w:spacing w:after="60"/>
        <w:ind w:firstLine="567"/>
        <w:jc w:val="both"/>
      </w:pPr>
      <w:r>
        <w:rPr>
          <w:rFonts w:ascii="Arial" w:cs="Arial" w:eastAsia="Arial" w:hAnsi="Arial"/>
          <w:sz w:val="24"/>
          <w:szCs w:val="24"/>
        </w:rPr>
        <w:t xml:space="preserve">Развитие российской экономики будет происходить в условиях сохраняющейся геополитической нестабильности, применения к России на протяжении всего прогнозного периода санкционного режима со стороны ЕС и США, поддерживающего жесткие ограничения доступа российских компаний к мировым рынкам капитала, и ответных экономических мер.</w:t>
      </w:r>
    </w:p>
    <w:p>
      <w:pPr>
        <w:spacing w:after="60"/>
        <w:ind w:firstLine="567"/>
        <w:jc w:val="both"/>
      </w:pPr>
      <w:r>
        <w:rPr>
          <w:rFonts w:ascii="Arial" w:cs="Arial" w:eastAsia="Arial" w:hAnsi="Arial"/>
          <w:sz w:val="24"/>
          <w:szCs w:val="24"/>
        </w:rPr>
        <w:t xml:space="preserve">В настоящее время российская экономика находится в состоянии стагнации, что обусловлено снизившимися ценами на нефть, слабым ростом доходов домохозяйств и бюджетной консолидацией. В 2016 году ожидается отрицательный экономический рост (-0,2%). Однако предполагается, что в 2017 году Россия выйдет из зоны негативного развития. С учетом прогнозируемой стабилизации цен на нефть и смягчения внутренних финансовых условий ожидается, что в 2017 году рост экономики возобновится и составит приблизительно 0,8%. В среднесрочной перспективе предполагается выход российской экономики на траекторию устойчивого роста с темпами не ниже среднемировых - до 4-4,5%, снижения инфляции и роста производительности труда.</w:t>
      </w:r>
    </w:p>
    <w:p>
      <w:pPr>
        <w:spacing w:after="60"/>
        <w:ind w:firstLine="567"/>
        <w:jc w:val="both"/>
      </w:pPr>
      <w:r>
        <w:rPr>
          <w:rFonts w:ascii="Arial" w:cs="Arial" w:eastAsia="Arial" w:hAnsi="Arial"/>
          <w:sz w:val="24"/>
          <w:szCs w:val="24"/>
        </w:rPr>
        <w:t xml:space="preserve">На развитие экономики Казахстана в 2016 году будут продолжать негативно влиять давление факторов внутри страны и трудности внешней среды. Экономика Казахстана в высокой степени зависит от нефтяного сектора, на долю которого приходится около 20% ВВП, 50% доходов бюджета и 60% экспорта. Учитывая волатильность мировых цен на нефть, рост ВВП ожидается нулевым либо предполагается незначительный рост. В 2017-2019 годы экономические показатели несколько восстановятся по мере роста потребительского спроса и увеличения объема инвестиций, а также в зависимости от динамики цен на нефть.</w:t>
      </w:r>
    </w:p>
    <w:p>
      <w:pPr>
        <w:spacing w:after="60"/>
        <w:ind w:firstLine="567"/>
        <w:jc w:val="both"/>
      </w:pPr>
      <w:r>
        <w:rPr>
          <w:rFonts w:ascii="Arial" w:cs="Arial" w:eastAsia="Arial" w:hAnsi="Arial"/>
          <w:sz w:val="24"/>
          <w:szCs w:val="24"/>
        </w:rPr>
        <w:t xml:space="preserve">Для мирового рынка нефти последние несколько лет оказались довольно тяжелыми. Однако на глобальном рынке стали формироваться первые реальные признаки восстановления. За апрель-май 2016 года цены на нефть серьезно выросли на фоне ослабления доллара США, улучшения макроэкономической ситуации в Китае, снижения добычи нефти странами, не входящими в ОПЕК, и роста мирового спроса. На фоне таких предпосылок, а также улучшения настроения на нефтяных рынках многими экспертами и международными организациями были пересмотрены прогнозы на цены нефти марки Brent в сторону увеличения:</w:t>
      </w:r>
    </w:p>
    <w:p>
      <w:pPr>
        <w:spacing w:after="60"/>
        <w:ind w:firstLine="567"/>
        <w:jc w:val="both"/>
      </w:pPr>
      <w:r>
        <w:rPr>
          <w:rFonts w:ascii="Arial" w:cs="Arial" w:eastAsia="Arial" w:hAnsi="Arial"/>
          <w:sz w:val="24"/>
          <w:szCs w:val="24"/>
        </w:rPr>
        <w:t xml:space="preserve">- так, Всемирным банком (апрель 2016 года) пересмотрен прогноз, где ожидается, что нефть (корзина сортов Brent, Dubai и WTI с равным весом) в 2016 году в среднем будет стоить $41 за баррель, а не $37 за баррель, как прогнозировалось в январе 2016 года;</w:t>
      </w:r>
    </w:p>
    <w:p>
      <w:pPr>
        <w:spacing w:after="60"/>
        <w:ind w:firstLine="567"/>
        <w:jc w:val="both"/>
      </w:pPr>
      <w:r>
        <w:rPr>
          <w:rFonts w:ascii="Arial" w:cs="Arial" w:eastAsia="Arial" w:hAnsi="Arial"/>
          <w:sz w:val="24"/>
          <w:szCs w:val="24"/>
        </w:rPr>
        <w:t xml:space="preserve">- эксперты Citigroup по сырьевому рынку в своем докладе пересмотрели свои прежние ожидания по нефти. По их мнению, сырьевые рынки оставили худший этап позади и теперь во главе с нефтяным рынком восстанавливают ранее понесенные потери, когда цены достигли минимальных значений в конце 2015 года. По всему спектру рынка металлов наблюдается процесс восстановления цен на фоне отмены новых проектов и уменьшения избыточного предложения. Рыночные цены приходят к сбалансированному состоянию и в агропромышленном секторе, в особенности в сегменте зерновых и сахара. Согласно новым оценкам котировки нефти марки Brent превысят уровень $50 за баррель в III квартале 2016 года, а не в IV, как прогнозировалось ранее. К концу 2017 года цены на нефть достигнут отметки $65 за баррель (ранее в Citigroup цены прогнозировали на уровне $60 к концу 2017 года);</w:t>
      </w:r>
    </w:p>
    <w:p>
      <w:pPr>
        <w:spacing w:after="60"/>
        <w:ind w:firstLine="567"/>
        <w:jc w:val="both"/>
      </w:pPr>
      <w:r>
        <w:rPr>
          <w:rFonts w:ascii="Arial" w:cs="Arial" w:eastAsia="Arial" w:hAnsi="Arial"/>
          <w:sz w:val="24"/>
          <w:szCs w:val="24"/>
        </w:rPr>
        <w:t xml:space="preserve">- эксперты инвестбанка Goldman Sachs, долгое время прогнозировавшие сохранение сверхнизких нефтяных цен из-за избытка предложения и слабого спроса, пересмотрели прогнозы в сторону увеличения, признав "внезапное" появление дефицита на мировом рынке нефти. Согласно новому прогнозу цены могут вырасти до $51 в IV квартале 2016 года (по сравнению с предыдущими прогнозами в $45), но могут упасть до $45 в I квартале 2017 года (по сравнению с прежним прогнозом в $55);</w:t>
      </w:r>
    </w:p>
    <w:p>
      <w:pPr>
        <w:spacing w:after="60"/>
        <w:ind w:firstLine="567"/>
        <w:jc w:val="both"/>
      </w:pPr>
      <w:r>
        <w:rPr>
          <w:rFonts w:ascii="Arial" w:cs="Arial" w:eastAsia="Arial" w:hAnsi="Arial"/>
          <w:sz w:val="24"/>
          <w:szCs w:val="24"/>
        </w:rPr>
        <w:t xml:space="preserve">- согласно прогнозу банка UBS (май 2016 года) Brent будет торговаться на уровне около $49 за баррель в IV квартале 2016 года. Затем в 2017 году стоит ожидать ралли в среднем до $55 за баррель. Также отмечено восстановление цен и на нефть WTI выше $50 за баррель;</w:t>
      </w:r>
    </w:p>
    <w:p>
      <w:pPr>
        <w:spacing w:after="60"/>
        <w:ind w:firstLine="567"/>
        <w:jc w:val="both"/>
      </w:pPr>
      <w:r>
        <w:rPr>
          <w:rFonts w:ascii="Arial" w:cs="Arial" w:eastAsia="Arial" w:hAnsi="Arial"/>
          <w:sz w:val="24"/>
          <w:szCs w:val="24"/>
        </w:rPr>
        <w:t xml:space="preserve">- согласно данным Министерства энергетики США, запасы нефти в стране в конце мая 2016 года упали сразу на 4,2 млн. баррелей, тогда как эксперты прогнозировали сокращение только на 2,45 млн. баррелей. Несмотря на то, что объем добычи продолжает сокращаться, темпы падения пока умеренные. Если подобная динамика продолжится, то падение может составить около 100 тыс. баррелей в сутки и в этом случае добыча в США упадет ниже 8 млн. баррелей в сутки к концу 2016 года. По сравнению с 2011 годом добыча в США примерно на 60-70% выше, однако наблюдается нисходящий тренд. В начале июня 2016 года стоимость сырой нефти находится около уровня сильного сопротивления. Поэтому достичь уровня цен на нефть в $49-51 за баррель будет сложно, но, если это случится, то нефть будет ближе к $60 за баррель.</w:t>
      </w:r>
    </w:p>
    <w:p>
      <w:pPr>
        <w:spacing w:after="60"/>
        <w:ind w:firstLine="567"/>
        <w:jc w:val="both"/>
      </w:pPr>
      <w:r>
        <w:rPr>
          <w:rFonts w:ascii="Arial" w:cs="Arial" w:eastAsia="Arial" w:hAnsi="Arial"/>
          <w:sz w:val="24"/>
          <w:szCs w:val="24"/>
        </w:rPr>
        <w:t xml:space="preserve">Однако, по предположению аналитиков Bank of America Merrill Lynch, присутствуют опасения наступления рисков так называемого "черного лебедя", когда укрепление доллара США может заставить Саудовскую Аравию либо сократить добычу нефти, тем самым подстегнув рост цен на нефть марки Brent обратно к отметке $50 за баррель, либо отказаться от привязки саудовского риала к доллару США. По мнению аналитиков банка, именно отказ от жесткой привязки саудовского риала к доллару США и есть тот "черный лебедь", который обвалит цены на нефть до $25 за баррель.</w:t>
      </w:r>
    </w:p>
    <w:p>
      <w:pPr>
        <w:spacing w:after="60"/>
        <w:ind w:firstLine="567"/>
        <w:jc w:val="both"/>
      </w:pPr>
      <w:r>
        <w:rPr>
          <w:rFonts w:ascii="Arial" w:cs="Arial" w:eastAsia="Arial" w:hAnsi="Arial"/>
          <w:sz w:val="24"/>
          <w:szCs w:val="24"/>
        </w:rPr>
        <w:t xml:space="preserve">Цена на золото сегодня на мировых биржах отражает динамику не только драгоценного металла, но является индикативным инструментом настроений на финансовых рынках. За последнее время котировки золота и спрос на него резко возросли, так как использование этого металла в качестве инвестиционного убежища в период кризиса стало весьма популярным. Текущая стоимость золота в мире позволяет инвесторам анализировать перспективы роста мировой экономики и делать прогнозы по динамике роста цен других биржевых инструментов.</w:t>
      </w:r>
    </w:p>
    <w:p>
      <w:pPr>
        <w:spacing w:after="60"/>
        <w:ind w:firstLine="567"/>
        <w:jc w:val="both"/>
      </w:pPr>
      <w:r>
        <w:rPr>
          <w:rFonts w:ascii="Arial" w:cs="Arial" w:eastAsia="Arial" w:hAnsi="Arial"/>
          <w:sz w:val="24"/>
          <w:szCs w:val="24"/>
        </w:rPr>
        <w:t xml:space="preserve">В 2015 году средняя цена на золото составила 1159 долл. США за тройскую унцию (рассчитывается The London Gold Market Fixing Ltd) и была на уровне заявленных в прогнозах международных финансовых институтов и оценок Министерства экономики Кыргызской Республики.</w:t>
      </w:r>
    </w:p>
    <w:p>
      <w:pPr>
        <w:spacing w:after="60"/>
        <w:ind w:firstLine="567"/>
        <w:jc w:val="both"/>
      </w:pPr>
      <w:r>
        <w:rPr>
          <w:rFonts w:ascii="Arial" w:cs="Arial" w:eastAsia="Arial" w:hAnsi="Arial"/>
          <w:sz w:val="24"/>
          <w:szCs w:val="24"/>
        </w:rPr>
        <w:t xml:space="preserve">Динамика цен на золото на текущий момент определяется по большей части несколькими факторами, в том числе физическим балансом спроса и предложения и монетарной политикой ФРС США.</w:t>
      </w:r>
    </w:p>
    <w:p>
      <w:pPr>
        <w:spacing w:after="60"/>
        <w:ind w:firstLine="567"/>
        <w:jc w:val="both"/>
      </w:pPr>
      <w:r>
        <w:rPr>
          <w:rFonts w:ascii="Arial" w:cs="Arial" w:eastAsia="Arial" w:hAnsi="Arial"/>
          <w:sz w:val="24"/>
          <w:szCs w:val="24"/>
        </w:rPr>
        <w:t xml:space="preserve">Если говорить о балансе спроса и предложения, то до недавнего времени причиной роста котировок было резкое сокращение переизбытка на рынке. Более того, в последнем доступном для анализа блоке статистики по мировому рынку золота в IV квартале 2015 года на рынке и вовсе сформировался дефицит золотого металла в рекордном для последних лет объеме 43 тыс. тонн. Из публикации отчетностей ряда крупнейших мировых золотодобывающих компаний за 2015 год известно, что из-за некоторых производственных факторов (аварий, остановки производства и т.п.), производство золота (первичного и переработанного) резко сократилось почти на 10% г/г. В целом, за год сокращение составило 3,5%.</w:t>
      </w:r>
    </w:p>
    <w:p>
      <w:pPr>
        <w:spacing w:after="60"/>
        <w:ind w:firstLine="567"/>
        <w:jc w:val="both"/>
      </w:pPr>
      <w:r>
        <w:rPr>
          <w:rFonts w:ascii="Arial" w:cs="Arial" w:eastAsia="Arial" w:hAnsi="Arial"/>
          <w:sz w:val="24"/>
          <w:szCs w:val="24"/>
        </w:rPr>
        <w:t xml:space="preserve">В этих условиях с начала 2016 года на рынке золота сложилась продолжающаяся тенденция повышения цены на него, которая выросла с 1063,51 до 1295,06 долл. США за тройскую унцию к началу мая 2016 года, где ведущую роль играло значительное падение биржевых, финансовых рынков и волатильность глобальных экономических тенденций.</w:t>
      </w:r>
    </w:p>
    <w:p>
      <w:pPr>
        <w:spacing w:after="60"/>
        <w:ind w:firstLine="567"/>
        <w:jc w:val="both"/>
      </w:pPr>
      <w:r>
        <w:rPr>
          <w:rFonts w:ascii="Arial" w:cs="Arial" w:eastAsia="Arial" w:hAnsi="Arial"/>
          <w:sz w:val="24"/>
          <w:szCs w:val="24"/>
        </w:rPr>
        <w:t xml:space="preserve">На фоне этого ряд международных инвестиционных банков и финансовые организации пересмотрели свои прогнозы и ждут возобновления роста цен на желтый драгоценный металл. Большинство аналитиков высказали свои мнения относительно динамики цен на золото в пределах 1200-1400 долл. США за тройскую унцию и не исключают возможный рост цен на золото в 2017-2019 годах:</w:t>
      </w:r>
    </w:p>
    <w:p>
      <w:pPr>
        <w:spacing w:after="60"/>
        <w:ind w:firstLine="567"/>
        <w:jc w:val="both"/>
      </w:pPr>
      <w:r>
        <w:rPr>
          <w:rFonts w:ascii="Arial" w:cs="Arial" w:eastAsia="Arial" w:hAnsi="Arial"/>
          <w:sz w:val="24"/>
          <w:szCs w:val="24"/>
        </w:rPr>
        <w:t xml:space="preserve">- аналитики банка Goldman Sachs пересмотрели свои прогнозы в сторону увеличения и полагают, что средняя цена будет в диапазоне от 1200 до 1150 долл. США за унцию к концу 2016 года;</w:t>
      </w:r>
    </w:p>
    <w:p>
      <w:pPr>
        <w:spacing w:after="60"/>
        <w:ind w:firstLine="567"/>
        <w:jc w:val="both"/>
      </w:pPr>
      <w:r>
        <w:rPr>
          <w:rFonts w:ascii="Arial" w:cs="Arial" w:eastAsia="Arial" w:hAnsi="Arial"/>
          <w:sz w:val="24"/>
          <w:szCs w:val="24"/>
        </w:rPr>
        <w:t xml:space="preserve">- аналогичной точки зрения придерживаются аналитики банка HSBC, по прогнозам которых цена может варьироваться от 1205-1275 долл. США и уже к 2017 году составить 1300 долл. США;</w:t>
      </w:r>
    </w:p>
    <w:p>
      <w:pPr>
        <w:spacing w:after="60"/>
        <w:ind w:firstLine="567"/>
        <w:jc w:val="both"/>
      </w:pPr>
      <w:r>
        <w:rPr>
          <w:rFonts w:ascii="Arial" w:cs="Arial" w:eastAsia="Arial" w:hAnsi="Arial"/>
          <w:sz w:val="24"/>
          <w:szCs w:val="24"/>
        </w:rPr>
        <w:t xml:space="preserve">- эксперты инвестиционного банка RBC Capital Markets ждут к концу 2016 года среднюю цену порядка 1300 долл. США за тройскую унцию (ранее прогнозировалась цена на уровне 1150 долл. США);</w:t>
      </w:r>
    </w:p>
    <w:p>
      <w:pPr>
        <w:spacing w:after="60"/>
        <w:ind w:firstLine="567"/>
        <w:jc w:val="both"/>
      </w:pPr>
      <w:r>
        <w:rPr>
          <w:rFonts w:ascii="Arial" w:cs="Arial" w:eastAsia="Arial" w:hAnsi="Arial"/>
          <w:sz w:val="24"/>
          <w:szCs w:val="24"/>
        </w:rPr>
        <w:t xml:space="preserve">- прогнозы банка Morgan Stanley составляют 1250 долл. США к концу 2016 года;</w:t>
      </w:r>
    </w:p>
    <w:p>
      <w:pPr>
        <w:spacing w:after="60"/>
        <w:ind w:firstLine="567"/>
        <w:jc w:val="both"/>
      </w:pPr>
      <w:r>
        <w:rPr>
          <w:rFonts w:ascii="Arial" w:cs="Arial" w:eastAsia="Arial" w:hAnsi="Arial"/>
          <w:sz w:val="24"/>
          <w:szCs w:val="24"/>
        </w:rPr>
        <w:t xml:space="preserve">- Credit Suisse улучшил прогноз и повысил цену до 1270 долл. США;</w:t>
      </w:r>
    </w:p>
    <w:p>
      <w:pPr>
        <w:spacing w:after="60"/>
        <w:ind w:firstLine="567"/>
        <w:jc w:val="both"/>
      </w:pPr>
      <w:r>
        <w:rPr>
          <w:rFonts w:ascii="Arial" w:cs="Arial" w:eastAsia="Arial" w:hAnsi="Arial"/>
          <w:sz w:val="24"/>
          <w:szCs w:val="24"/>
        </w:rPr>
        <w:t xml:space="preserve">- UBS ожидает, что цена на золото в среднем составит в районе 1225 долл. США.</w:t>
      </w:r>
    </w:p>
    <w:p>
      <w:pPr>
        <w:spacing w:after="60"/>
        <w:ind w:firstLine="567"/>
        <w:jc w:val="both"/>
      </w:pPr>
      <w:r>
        <w:rPr>
          <w:rFonts w:ascii="Arial" w:cs="Arial" w:eastAsia="Arial" w:hAnsi="Arial"/>
          <w:sz w:val="24"/>
          <w:szCs w:val="24"/>
        </w:rPr>
        <w:t xml:space="preserve">В целом повышение цены на золото в прогнозном периоде, прежде всего, основано на следующих поддерживающих факторах:</w:t>
      </w:r>
    </w:p>
    <w:p>
      <w:pPr>
        <w:spacing w:after="60"/>
        <w:ind w:firstLine="567"/>
        <w:jc w:val="both"/>
      </w:pPr>
      <w:r>
        <w:rPr>
          <w:rFonts w:ascii="Arial" w:cs="Arial" w:eastAsia="Arial" w:hAnsi="Arial"/>
          <w:sz w:val="24"/>
          <w:szCs w:val="24"/>
        </w:rPr>
        <w:t xml:space="preserve">- активное накапливание своих золотовалютных резервов многими центральными банками, которое будет поддерживать рост цен;</w:t>
      </w:r>
    </w:p>
    <w:p>
      <w:pPr>
        <w:spacing w:after="60"/>
        <w:ind w:firstLine="567"/>
        <w:jc w:val="both"/>
      </w:pPr>
      <w:r>
        <w:rPr>
          <w:rFonts w:ascii="Arial" w:cs="Arial" w:eastAsia="Arial" w:hAnsi="Arial"/>
          <w:sz w:val="24"/>
          <w:szCs w:val="24"/>
        </w:rPr>
        <w:t xml:space="preserve">- более медленные темпы ужесточения денежно-кредитной политики США (ожидается, что повышение базовых ставок ФРС США будет более медленным, чем предполагалось ранее, многие аналитики полагают, что дальнейшие шаги ФРС США будут более осторожными и повышение ставки в 2016 году, возможно, будет только в сентябре, а не в июне как это предполагалось ранее);</w:t>
      </w:r>
    </w:p>
    <w:p>
      <w:pPr>
        <w:spacing w:after="60"/>
        <w:ind w:firstLine="567"/>
        <w:jc w:val="both"/>
      </w:pPr>
      <w:r>
        <w:rPr>
          <w:rFonts w:ascii="Arial" w:cs="Arial" w:eastAsia="Arial" w:hAnsi="Arial"/>
          <w:sz w:val="24"/>
          <w:szCs w:val="24"/>
        </w:rPr>
        <w:t xml:space="preserve">- восстановление потребительского спроса в странах с развивающейся экономикой, увеличение потребления золота в Китае и Индии после снижения в I квартале 2016 года;</w:t>
      </w:r>
    </w:p>
    <w:p>
      <w:pPr>
        <w:spacing w:after="60"/>
        <w:ind w:firstLine="567"/>
        <w:jc w:val="both"/>
      </w:pPr>
      <w:r>
        <w:rPr>
          <w:rFonts w:ascii="Arial" w:cs="Arial" w:eastAsia="Arial" w:hAnsi="Arial"/>
          <w:sz w:val="24"/>
          <w:szCs w:val="24"/>
        </w:rPr>
        <w:t xml:space="preserve">- увеличение инвестиционного спроса, в связи с беспокойством инвесторов в отношении перспектив развития мировой экономики;</w:t>
      </w:r>
    </w:p>
    <w:p>
      <w:pPr>
        <w:spacing w:after="60"/>
        <w:ind w:firstLine="567"/>
        <w:jc w:val="both"/>
      </w:pPr>
      <w:r>
        <w:rPr>
          <w:rFonts w:ascii="Arial" w:cs="Arial" w:eastAsia="Arial" w:hAnsi="Arial"/>
          <w:sz w:val="24"/>
          <w:szCs w:val="24"/>
        </w:rPr>
        <w:t xml:space="preserve">- вероятное снижение добычи золота, которое может спровоцировать нехватку и возможное его удорожание.</w:t>
      </w:r>
    </w:p>
    <w:p>
      <w:pPr>
        <w:spacing w:after="60"/>
        <w:ind w:firstLine="567"/>
        <w:jc w:val="both"/>
      </w:pPr>
      <w:r>
        <w:rPr>
          <w:rFonts w:ascii="Arial" w:cs="Arial" w:eastAsia="Arial" w:hAnsi="Arial"/>
          <w:sz w:val="24"/>
          <w:szCs w:val="24"/>
        </w:rPr>
        <w:t xml:space="preserve">Несмотря на позитивные прогнозы, многие факторы также представляют риски для золота. Эксперты указывают на ряд факторов, которые могут повлечь за собой снижение цены, в связи с вероятным поэтапным повышением ключевой ставки ФРС США в июне 2016 года, при условии, если экономика США будет демонстрировать признаки улучшения ситуации и состояния рынка труда (справочно: по состоянию на 27 мая 2016 года цена снизилась до 1220,03 долл. США с 1295,059 долл. США в начале мая 2016 года на фоне ожиданий повышения базовой процентной ставки ФРС США). Грядущее повышение ставки негативно повлияет на инфляционные ожидания по доллару, а значит, снижает спрос на золото, как популярную страховку от долларовой инфляции. Само собой, негативное влияние оказывает и укрепление доллара т.к. в нем номинированы цены. Так, только с 16 мая 2016 года индекс доллара DXY вырос на 1%.</w:t>
      </w:r>
    </w:p>
    <w:p>
      <w:pPr>
        <w:spacing w:after="60"/>
        <w:ind w:firstLine="567"/>
        <w:jc w:val="both"/>
      </w:pPr>
      <w:r>
        <w:rPr>
          <w:rFonts w:ascii="Arial" w:cs="Arial" w:eastAsia="Arial" w:hAnsi="Arial"/>
          <w:sz w:val="24"/>
          <w:szCs w:val="24"/>
        </w:rPr>
        <w:t xml:space="preserve">Помимо этого, ухудшение экономических перспектив и неопределенность многих событий будут оказывать негативное влияние на повышение цены: спрос со стороны Китая по состоянию на начало июня 2016 года неопределенный, а в Индии - "умеренный в лучшем случае", при этом наблюдается определенное восстановление доллара. Все эти факторы оказывают давление на цену золота.</w:t>
      </w:r>
    </w:p>
    <w:p>
      <w:pPr>
        <w:spacing w:after="60"/>
        <w:ind w:firstLine="567"/>
        <w:jc w:val="both"/>
      </w:pPr>
      <w:r>
        <w:rPr>
          <w:rFonts w:ascii="Arial" w:cs="Arial" w:eastAsia="Arial" w:hAnsi="Arial"/>
          <w:sz w:val="24"/>
          <w:szCs w:val="24"/>
        </w:rPr>
        <w:t xml:space="preserve">С технической точки зрения, золото достигло линии пробития треугольника в районе 1295,05 и откатило вниз. Теперь находится в области 1214,95 долл. США за тройскую унцию.</w:t>
      </w:r>
    </w:p>
    <w:p>
      <w:pPr>
        <w:spacing w:after="60"/>
        <w:ind w:firstLine="567"/>
        <w:jc w:val="both"/>
      </w:pPr>
      <w:r>
        <w:rPr>
          <w:rFonts w:ascii="Arial" w:cs="Arial" w:eastAsia="Arial" w:hAnsi="Arial"/>
          <w:sz w:val="24"/>
          <w:szCs w:val="24"/>
        </w:rPr>
        <w:t xml:space="preserve">Цена на золото на прогнозируемые годы определена на основании прогнозных данных международных финансовых институтов и собственных оценок.</w:t>
      </w:r>
    </w:p>
    <w:p>
      <w:pPr>
        <w:spacing w:after="60"/>
        <w:ind w:firstLine="567"/>
        <w:jc w:val="both"/>
      </w:pPr>
      <w:r>
        <w:rPr>
          <w:rFonts w:ascii="Arial" w:cs="Arial" w:eastAsia="Arial" w:hAnsi="Arial"/>
          <w:sz w:val="24"/>
          <w:szCs w:val="24"/>
        </w:rPr>
        <w:t xml:space="preserve">С учетом вышеуказанных факторов и рисков, а также в условиях ухудшения экономических перспектив, связанных с экономическими и неэкономическими рисками (факторами) и неопределенностью многих событий, которые значительно оказывают влияние на восстановление цен нефти, разработаны количественные значения внешних параметров прогнозов на 2016-2019 годы. Данные прогнозные значения учитываются при составлении прогнозов государствами-членами ЕАЭС. На рассматриваемые периоды перспективы развития мировой экономики варьируются в интервале 3,1%-3,9%, а изменение цен на нефть варьируются в интервале от 37,0 до 65 долл. США за баррель. На 2016-2019 годы цены на золото прогнозируется в диапазоне 1150-1300 долл. США за тройскую унцию.</w:t>
      </w:r>
    </w:p>
    <w:p>
      <w:pPr>
        <w:spacing w:after="60" w:before="120"/>
        <w:ind w:firstLine="567"/>
        <w:jc w:val="right"/>
      </w:pPr>
      <w:r>
        <w:rPr>
          <w:rFonts w:ascii="Arial" w:cs="Arial" w:eastAsia="Arial" w:hAnsi="Arial"/>
          <w:sz w:val="24"/>
          <w:szCs w:val="24"/>
        </w:rPr>
        <w:t xml:space="preserve">Таблица 7</w:t>
      </w:r>
    </w:p>
    <w:p>
      <w:pPr>
        <w:spacing w:after="200" w:before="200"/>
        <w:jc w:val="center"/>
      </w:pPr>
      <w:r>
        <w:rPr>
          <w:rFonts w:ascii="Arial" w:cs="Arial" w:eastAsia="Arial" w:hAnsi="Arial"/>
          <w:b/>
          <w:bCs/>
          <w:sz w:val="32"/>
          <w:szCs w:val="32"/>
        </w:rPr>
        <w:t xml:space="preserve">Интервальные количественные значения внешних параметров прогнозов на 2016-2019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2"/>
        <w:gridCol w:w="2762"/>
        <w:gridCol w:w="2005"/>
        <w:gridCol w:w="1232"/>
        <w:gridCol w:w="1232"/>
        <w:gridCol w:w="1232"/>
        <w:gridCol w:w="1232"/>
      </w:tblGrid>
      <w:tr>
        <w:tc>
          <w:tcPr>
            <w:tcW w:type="dxa" w:w="4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76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200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492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Интервал прогнозной оценки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 темпов развития мировой экономики</w:t>
            </w:r>
          </w:p>
        </w:tc>
        <w:tc>
          <w:tcPr>
            <w:tcW w:type="dxa" w:w="2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 пред. году</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3,1-3,4</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3,3-3,6</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3.5-3,7</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3,7-3,9</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 цен на нефть марки Brent</w:t>
            </w:r>
          </w:p>
        </w:tc>
        <w:tc>
          <w:tcPr>
            <w:tcW w:type="dxa" w:w="2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долл. США за баррель</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37,0-45,0</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43,0-57,0</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50,0-60,0</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55,0-65,0</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 цен на золото</w:t>
            </w:r>
          </w:p>
        </w:tc>
        <w:tc>
          <w:tcPr>
            <w:tcW w:type="dxa" w:w="2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долл. США за тройскую унцию</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1150-1200</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1200-1250</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1250-1300</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w:t>
            </w:r>
          </w:p>
        </w:tc>
      </w:tr>
    </w:tbl>
    <w:p>
      <w:pPr>
        <w:spacing w:after="60" w:before="120"/>
        <w:ind w:firstLine="567"/>
        <w:jc w:val="both"/>
      </w:pPr>
      <w:r>
        <w:rPr>
          <w:rFonts w:ascii="Arial" w:cs="Arial" w:eastAsia="Arial" w:hAnsi="Arial"/>
          <w:sz w:val="24"/>
          <w:szCs w:val="24"/>
        </w:rPr>
        <w:t xml:space="preserve">Взаимное влияние экономик - важный фактор, который всегда учитывается при планировании долгосрочного экономического развития, реализации кратко- и среднесрочных мер экономической политики. Участие в интеграционном объединении усиливает не только положительные взаимные эффекты на траектории роста, но и отрицательные - на траектории спада. Однако в свою очередь дает инструменты координации, которые позволяют сглаживать негативное влияние.</w:t>
      </w:r>
    </w:p>
    <w:p>
      <w:pPr>
        <w:spacing w:after="60"/>
        <w:ind w:firstLine="567"/>
        <w:jc w:val="both"/>
      </w:pPr>
      <w:r>
        <w:rPr>
          <w:rFonts w:ascii="Arial" w:cs="Arial" w:eastAsia="Arial" w:hAnsi="Arial"/>
          <w:sz w:val="24"/>
          <w:szCs w:val="24"/>
        </w:rPr>
        <w:t xml:space="preserve">Экономика стран-участниц ЕАЭС продолжает ухудшаться на фоне спада торгово-экономических отношений между Российской Федерацией и странами Запада и сохраняющегося значительного количества экономических дисбалансов, как на уровне национальных экономик стран-участниц, так и объединения в целом.</w:t>
      </w:r>
    </w:p>
    <w:p>
      <w:pPr>
        <w:spacing w:after="60"/>
        <w:ind w:firstLine="567"/>
        <w:jc w:val="both"/>
      </w:pPr>
      <w:r>
        <w:rPr>
          <w:rFonts w:ascii="Arial" w:cs="Arial" w:eastAsia="Arial" w:hAnsi="Arial"/>
          <w:sz w:val="24"/>
          <w:szCs w:val="24"/>
        </w:rPr>
        <w:t xml:space="preserve">Взаимодействие между государствами-членами ЕАЭС сильно, и продолжающиеся неблагоприятные условия для развития экономик (снижение цен на энергоносители, покупательной способности, продолжение волатильности на валютном рынке и т.д.) будут оказывать влияние на макроэкономические показатели 2016 года и среднесрочного периода Кыргызской Республики.</w:t>
      </w:r>
    </w:p>
    <w:p>
      <w:pPr>
        <w:spacing w:after="60"/>
        <w:ind w:firstLine="567"/>
        <w:jc w:val="both"/>
      </w:pPr>
      <w:r>
        <w:rPr>
          <w:rFonts w:ascii="Arial" w:cs="Arial" w:eastAsia="Arial" w:hAnsi="Arial"/>
          <w:sz w:val="24"/>
          <w:szCs w:val="24"/>
        </w:rPr>
        <w:t xml:space="preserve">На фоне вышеуказанных событий в основу оценок заложены как внешние, так и внутренние факторы, которые будут оказывать положительное и отрицательное влияние на развитие экономики страны в 2016 году и в среднесрочном периоде.</w:t>
      </w:r>
    </w:p>
    <w:p>
      <w:pPr>
        <w:spacing w:after="60"/>
        <w:ind w:firstLine="567"/>
        <w:jc w:val="both"/>
      </w:pPr>
      <w:r>
        <w:rPr>
          <w:rFonts w:ascii="Arial" w:cs="Arial" w:eastAsia="Arial" w:hAnsi="Arial"/>
          <w:sz w:val="24"/>
          <w:szCs w:val="24"/>
        </w:rPr>
        <w:t xml:space="preserve">Благоприятные факторы:</w:t>
      </w:r>
    </w:p>
    <w:p>
      <w:pPr>
        <w:spacing w:after="60"/>
        <w:ind w:firstLine="567"/>
        <w:jc w:val="both"/>
      </w:pPr>
      <w:r>
        <w:rPr>
          <w:rFonts w:ascii="Arial" w:cs="Arial" w:eastAsia="Arial" w:hAnsi="Arial"/>
          <w:sz w:val="24"/>
          <w:szCs w:val="24"/>
        </w:rPr>
        <w:t xml:space="preserve">- полная интеграция Кыргызстана в ЕАЭС и сохранение либеральной внешнеторговой политики (пик влияния - 2016-2017 годы);</w:t>
      </w:r>
    </w:p>
    <w:p>
      <w:pPr>
        <w:spacing w:after="60"/>
        <w:ind w:firstLine="567"/>
        <w:jc w:val="both"/>
      </w:pPr>
      <w:r>
        <w:rPr>
          <w:rFonts w:ascii="Arial" w:cs="Arial" w:eastAsia="Arial" w:hAnsi="Arial"/>
          <w:sz w:val="24"/>
          <w:szCs w:val="24"/>
        </w:rPr>
        <w:t xml:space="preserve">- членство в ЕАЭС как фактор обеспечения дополнительной устойчивости и развития экономики благодаря интеграционным мерам и действиям;</w:t>
      </w:r>
    </w:p>
    <w:p>
      <w:pPr>
        <w:spacing w:after="60"/>
        <w:ind w:firstLine="567"/>
        <w:jc w:val="both"/>
      </w:pPr>
      <w:r>
        <w:rPr>
          <w:rFonts w:ascii="Arial" w:cs="Arial" w:eastAsia="Arial" w:hAnsi="Arial"/>
          <w:sz w:val="24"/>
          <w:szCs w:val="24"/>
        </w:rPr>
        <w:t xml:space="preserve">- повышение привлекательности бизнес-среды и рост деловой активности хозяйствующих субъектов на фоне улучшения инвестиционного климата и расширения рынка (реализация Программы Правительства Кыргызской Республики по развитию частного сектора в Кыргызской Республике на 2015-2017 годы, утвержденной постановлением Правительства Кыргызской Республики от 18 марта 2015 года №129);</w:t>
      </w:r>
    </w:p>
    <w:p>
      <w:pPr>
        <w:spacing w:after="60"/>
        <w:ind w:firstLine="567"/>
        <w:jc w:val="both"/>
      </w:pPr>
      <w:r>
        <w:rPr>
          <w:rFonts w:ascii="Arial" w:cs="Arial" w:eastAsia="Arial" w:hAnsi="Arial"/>
          <w:sz w:val="24"/>
          <w:szCs w:val="24"/>
        </w:rPr>
        <w:t xml:space="preserve">- продвижение продукции отечественных производителей на рынке стран-членов ЕАЭС;</w:t>
      </w:r>
    </w:p>
    <w:p>
      <w:pPr>
        <w:spacing w:after="60"/>
        <w:ind w:firstLine="567"/>
        <w:jc w:val="both"/>
      </w:pPr>
      <w:r>
        <w:rPr>
          <w:rFonts w:ascii="Arial" w:cs="Arial" w:eastAsia="Arial" w:hAnsi="Arial"/>
          <w:sz w:val="24"/>
          <w:szCs w:val="24"/>
        </w:rPr>
        <w:t xml:space="preserve">- рост объемов инвестиций: для инвесторов открывается рынок без пошлин и барьеров;</w:t>
      </w:r>
    </w:p>
    <w:p>
      <w:pPr>
        <w:spacing w:after="60"/>
        <w:ind w:firstLine="567"/>
        <w:jc w:val="both"/>
      </w:pPr>
      <w:r>
        <w:rPr>
          <w:rFonts w:ascii="Arial" w:cs="Arial" w:eastAsia="Arial" w:hAnsi="Arial"/>
          <w:sz w:val="24"/>
          <w:szCs w:val="24"/>
        </w:rPr>
        <w:t xml:space="preserve">- развитие экспортных операций и приоритетных секторов с высоким экспортным потенциалом на основе реализации Плана Правительства Кыргызской Республики по развитию экспорта Кыргызской Республики на 2015-2017 годы (постановление Правительства Кыргызской Республики от 31 марта 2015 года № 174);</w:t>
      </w:r>
    </w:p>
    <w:p>
      <w:pPr>
        <w:spacing w:after="60"/>
        <w:ind w:firstLine="567"/>
        <w:jc w:val="both"/>
      </w:pPr>
      <w:r>
        <w:rPr>
          <w:rFonts w:ascii="Arial" w:cs="Arial" w:eastAsia="Arial" w:hAnsi="Arial"/>
          <w:sz w:val="24"/>
          <w:szCs w:val="24"/>
        </w:rPr>
        <w:t xml:space="preserve">- развитие приграничной торговли, сдерживаемой ранее наличием таможенного контроля, которая будет способствовать созданию новых рабочих мест, увеличению денежных доходов населения, улучшению транспортной, жилищной, социальной инфраструктуры на местах;</w:t>
      </w:r>
    </w:p>
    <w:p>
      <w:pPr>
        <w:spacing w:after="60"/>
        <w:ind w:firstLine="567"/>
        <w:jc w:val="both"/>
      </w:pPr>
      <w:r>
        <w:rPr>
          <w:rFonts w:ascii="Arial" w:cs="Arial" w:eastAsia="Arial" w:hAnsi="Arial"/>
          <w:sz w:val="24"/>
          <w:szCs w:val="24"/>
        </w:rPr>
        <w:t xml:space="preserve">- приведение правил таможенного администрирования в соответствие с нормами Таможенного кодекса ЕАЭС, с применением таможенного оформления по стоимости товаров, а не по его весу, может дать существенное повышение поступлений;</w:t>
      </w:r>
    </w:p>
    <w:p>
      <w:pPr>
        <w:spacing w:after="60"/>
        <w:ind w:firstLine="567"/>
        <w:jc w:val="both"/>
      </w:pPr>
      <w:r>
        <w:rPr>
          <w:rFonts w:ascii="Arial" w:cs="Arial" w:eastAsia="Arial" w:hAnsi="Arial"/>
          <w:sz w:val="24"/>
          <w:szCs w:val="24"/>
        </w:rPr>
        <w:t xml:space="preserve">- свободное передвижение труда и капитала.</w:t>
      </w:r>
    </w:p>
    <w:p>
      <w:pPr>
        <w:spacing w:after="60"/>
        <w:ind w:firstLine="567"/>
        <w:jc w:val="both"/>
      </w:pPr>
      <w:r>
        <w:rPr>
          <w:rFonts w:ascii="Arial" w:cs="Arial" w:eastAsia="Arial" w:hAnsi="Arial"/>
          <w:sz w:val="24"/>
          <w:szCs w:val="24"/>
        </w:rPr>
        <w:t xml:space="preserve">Основные риски:</w:t>
      </w:r>
    </w:p>
    <w:p>
      <w:pPr>
        <w:spacing w:after="60"/>
        <w:ind w:firstLine="567"/>
        <w:jc w:val="both"/>
      </w:pPr>
      <w:r>
        <w:rPr>
          <w:rFonts w:ascii="Arial" w:cs="Arial" w:eastAsia="Arial" w:hAnsi="Arial"/>
          <w:sz w:val="24"/>
          <w:szCs w:val="24"/>
        </w:rPr>
        <w:t xml:space="preserve">- медленная адаптация кыргызской экономики к изменениям условий внешней торговли в условиях функционирования в ЕАЭС;</w:t>
      </w:r>
    </w:p>
    <w:p>
      <w:pPr>
        <w:spacing w:after="60"/>
        <w:ind w:firstLine="567"/>
        <w:jc w:val="both"/>
      </w:pPr>
      <w:r>
        <w:rPr>
          <w:rFonts w:ascii="Arial" w:cs="Arial" w:eastAsia="Arial" w:hAnsi="Arial"/>
          <w:sz w:val="24"/>
          <w:szCs w:val="24"/>
        </w:rPr>
        <w:t xml:space="preserve">- сужение потребительского спроса за счет снижения темпов экономического роста в странах - основных торговых партнерах из-за сложившейся геоэкономической ситуации;</w:t>
      </w:r>
    </w:p>
    <w:p>
      <w:pPr>
        <w:spacing w:after="60"/>
        <w:ind w:firstLine="567"/>
        <w:jc w:val="both"/>
      </w:pPr>
      <w:r>
        <w:rPr>
          <w:rFonts w:ascii="Arial" w:cs="Arial" w:eastAsia="Arial" w:hAnsi="Arial"/>
          <w:sz w:val="24"/>
          <w:szCs w:val="24"/>
        </w:rPr>
        <w:t xml:space="preserve">- высокий уровень государственного долга (по итогам 2015 года соотношение государственного долга к ВВП составило 68,2%), который может ограничивать возможности фискального стимулирования, соответственно, бюджетный дефицит будет угрожать дальнейшему росту государственного долга;</w:t>
      </w:r>
    </w:p>
    <w:p>
      <w:pPr>
        <w:spacing w:after="60"/>
        <w:ind w:firstLine="567"/>
        <w:jc w:val="both"/>
      </w:pPr>
      <w:r>
        <w:rPr>
          <w:rFonts w:ascii="Arial" w:cs="Arial" w:eastAsia="Arial" w:hAnsi="Arial"/>
          <w:sz w:val="24"/>
          <w:szCs w:val="24"/>
        </w:rPr>
        <w:t xml:space="preserve">- рост издержек производства и сокращение конкурентоспособности для секторов экономики с высоким удельным весом импортируемых материалов из-за повышения пошлин, слабой инфраструктуры, качества продукции и выполнения новых требований технических регламентов ЕАЭС;</w:t>
      </w:r>
    </w:p>
    <w:p>
      <w:pPr>
        <w:spacing w:after="60"/>
        <w:ind w:firstLine="567"/>
        <w:jc w:val="both"/>
      </w:pPr>
      <w:r>
        <w:rPr>
          <w:rFonts w:ascii="Arial" w:cs="Arial" w:eastAsia="Arial" w:hAnsi="Arial"/>
          <w:sz w:val="24"/>
          <w:szCs w:val="24"/>
        </w:rPr>
        <w:t xml:space="preserve">- сохранение или медленное преодоление барьеров в приграничной и внешней торговле, рост конкуренции на внутреннем рынке со стороны иностранных производителей;</w:t>
      </w:r>
    </w:p>
    <w:p>
      <w:pPr>
        <w:spacing w:after="60"/>
        <w:ind w:firstLine="567"/>
        <w:jc w:val="both"/>
      </w:pPr>
      <w:r>
        <w:rPr>
          <w:rFonts w:ascii="Arial" w:cs="Arial" w:eastAsia="Arial" w:hAnsi="Arial"/>
          <w:sz w:val="24"/>
          <w:szCs w:val="24"/>
        </w:rPr>
        <w:t xml:space="preserve">- рост издержек для экспортеров, а в ряде случаев - невозможность осуществления экспорта из-за того, что принятая в ЕАЭС система технического регулирования предъявляет более жесткие требования к производителям и продукции (затяжной процесс проведения модернизации испытательных лабораторий, приведение в соответствие с требованиями законодательства ЕАЭС в области санитарно-карантинного, ветеринарного и фитосанитарного контроля в пунктах пропуска и осуществление других мер по улучшению системы технического регулирования);</w:t>
      </w:r>
    </w:p>
    <w:p>
      <w:pPr>
        <w:spacing w:after="60"/>
        <w:ind w:firstLine="567"/>
        <w:jc w:val="both"/>
      </w:pPr>
      <w:r>
        <w:rPr>
          <w:rFonts w:ascii="Arial" w:cs="Arial" w:eastAsia="Arial" w:hAnsi="Arial"/>
          <w:sz w:val="24"/>
          <w:szCs w:val="24"/>
        </w:rPr>
        <w:t xml:space="preserve">- прекращение поставок некоторых товаров в Кыргызстан из-за роста таможенных пошлин, снижение товарооборота со странами, не входящими в ЕАЭС;</w:t>
      </w:r>
    </w:p>
    <w:p>
      <w:pPr>
        <w:spacing w:after="60"/>
        <w:ind w:firstLine="567"/>
        <w:jc w:val="both"/>
      </w:pPr>
      <w:r>
        <w:rPr>
          <w:rFonts w:ascii="Arial" w:cs="Arial" w:eastAsia="Arial" w:hAnsi="Arial"/>
          <w:sz w:val="24"/>
          <w:szCs w:val="24"/>
        </w:rPr>
        <w:t xml:space="preserve">- отток с отечественного рынка труда квалифицированной рабочей силы;</w:t>
      </w:r>
    </w:p>
    <w:p>
      <w:pPr>
        <w:spacing w:after="60"/>
        <w:ind w:firstLine="567"/>
        <w:jc w:val="both"/>
      </w:pPr>
      <w:r>
        <w:rPr>
          <w:rFonts w:ascii="Arial" w:cs="Arial" w:eastAsia="Arial" w:hAnsi="Arial"/>
          <w:sz w:val="24"/>
          <w:szCs w:val="24"/>
        </w:rPr>
        <w:t xml:space="preserve">- рост стоимости импорта на основные продовольственные товары и энергоресурсы на фоне сложившейся ситуации на валютном рынке обусловит дополнительное инфляционное давление на экономику;</w:t>
      </w:r>
    </w:p>
    <w:p>
      <w:pPr>
        <w:spacing w:after="60"/>
        <w:ind w:firstLine="567"/>
        <w:jc w:val="both"/>
      </w:pPr>
      <w:r>
        <w:rPr>
          <w:rFonts w:ascii="Arial" w:cs="Arial" w:eastAsia="Arial" w:hAnsi="Arial"/>
          <w:sz w:val="24"/>
          <w:szCs w:val="24"/>
        </w:rPr>
        <w:t xml:space="preserve">- рост в отраслях сферы услуг, задействованных в реэкспорте, замедлится (торговля); ожидается общее замедление экономической активности в данной сфере, которое приведет к снижению спроса на транспортные услуги;</w:t>
      </w:r>
    </w:p>
    <w:p>
      <w:pPr>
        <w:spacing w:after="60"/>
        <w:ind w:firstLine="567"/>
        <w:jc w:val="both"/>
      </w:pPr>
      <w:r>
        <w:rPr>
          <w:rFonts w:ascii="Arial" w:cs="Arial" w:eastAsia="Arial" w:hAnsi="Arial"/>
          <w:sz w:val="24"/>
          <w:szCs w:val="24"/>
        </w:rPr>
        <w:t xml:space="preserve">- увеличение дефицита государственного бюджета вследствие сокращения потенциальных кредитных и грантовых поступлений при сохранении прежнего уровня социальных расходов.</w:t>
      </w:r>
    </w:p>
    <w:p>
      <w:pPr>
        <w:spacing w:after="60"/>
        <w:ind w:firstLine="567"/>
        <w:jc w:val="both"/>
      </w:pPr>
      <w:r>
        <w:rPr>
          <w:rFonts w:ascii="Arial" w:cs="Arial" w:eastAsia="Arial" w:hAnsi="Arial"/>
          <w:sz w:val="24"/>
          <w:szCs w:val="24"/>
        </w:rPr>
        <w:t xml:space="preserve">Данный прогноз предусматривает более активную политику государства, направленную на обеспечение устойчивого развития экономики и социальной стабильности, и характеризует развитие экономики в условиях принятия дополнительных мер стимулирующего характера.</w:t>
      </w:r>
    </w:p>
    <w:p>
      <w:pPr>
        <w:spacing w:after="60"/>
        <w:ind w:firstLine="567"/>
        <w:jc w:val="both"/>
      </w:pPr>
      <w:r>
        <w:rPr>
          <w:rFonts w:ascii="Arial" w:cs="Arial" w:eastAsia="Arial" w:hAnsi="Arial"/>
          <w:sz w:val="24"/>
          <w:szCs w:val="24"/>
        </w:rPr>
        <w:t xml:space="preserve">Учитывая текущую тенденцию развития экономики и фактически сложившиеся условия, произведен расчет ожидаемых показателей в 2016 году и, соответственно, прогнозных значений на 2017-2019 годы.</w:t>
      </w:r>
    </w:p>
    <w:p>
      <w:pPr>
        <w:spacing w:after="200" w:before="200"/>
        <w:jc w:val="center"/>
      </w:pPr>
      <w:r>
        <w:rPr>
          <w:rFonts w:ascii="Arial" w:cs="Arial" w:eastAsia="Arial" w:hAnsi="Arial"/>
          <w:b/>
          <w:bCs/>
          <w:sz w:val="24"/>
          <w:szCs w:val="24"/>
        </w:rPr>
        <w:t xml:space="preserve">4. Макроэкономические показатели, ожидаемые в 2016 году</w:t>
      </w:r>
    </w:p>
    <w:p>
      <w:pPr>
        <w:spacing w:after="60"/>
        <w:ind w:firstLine="567"/>
        <w:jc w:val="both"/>
      </w:pPr>
      <w:r>
        <w:rPr>
          <w:rFonts w:ascii="Arial" w:cs="Arial" w:eastAsia="Arial" w:hAnsi="Arial"/>
          <w:sz w:val="24"/>
          <w:szCs w:val="24"/>
        </w:rPr>
        <w:t xml:space="preserve">Главной целью экономической политики в 2016 году будет сохранение макроэкономической стабильности и закрепление положительной динамики экономического роста, для достижения которых будет активно реализовываться План действий Правительства Кыргызской Республики по реализации Программы Правительства Кыргызской Республики "Стабильность, доверие и новые возможности" на 2016 год (постановление Правительства Кыргызской Республики от 29 января 2016 года № 41). В целях минимизации внешних факторов риска, которые связаны со снижением темпов экономического роста в мире и на пространстве ЕАЭС, действия Правительства Кыргызской Республики будут направлены на своевременную и качественную реализацию Программы Правительства Кыргызской Республики "Стабильность, доверие и новые возможности". Данная Программа содержит приоритетные направления, на которых необходимо сконцентрировать свои усилия в ближайшее время, она подкреплена пакетом законодательных, нормативных и правовых инициатив по их практической реализации. Для обеспечения устойчивого экономического роста деятельность Правительства Кыргызской Республики будет направлена на продолжение реализации крупных инвестиционных проектов.</w:t>
      </w:r>
    </w:p>
    <w:p>
      <w:pPr>
        <w:spacing w:after="60"/>
        <w:ind w:firstLine="567"/>
        <w:jc w:val="both"/>
      </w:pPr>
      <w:r>
        <w:rPr>
          <w:rFonts w:ascii="Arial" w:cs="Arial" w:eastAsia="Arial" w:hAnsi="Arial"/>
          <w:sz w:val="24"/>
          <w:szCs w:val="24"/>
        </w:rPr>
        <w:t xml:space="preserve">Достижение макроэкономической устойчивости обеспечит стабильность макроэкономических показателей, предсказуемость проводимой экономической политики, даст представление о наличии у государства достаточных ресурсов и инструментов для своевременного реагирования на возникающие дисбалансы.</w:t>
      </w:r>
    </w:p>
    <w:p>
      <w:pPr>
        <w:spacing w:after="60"/>
        <w:ind w:firstLine="567"/>
        <w:jc w:val="both"/>
      </w:pPr>
      <w:r>
        <w:rPr>
          <w:rFonts w:ascii="Arial" w:cs="Arial" w:eastAsia="Arial" w:hAnsi="Arial"/>
          <w:sz w:val="24"/>
          <w:szCs w:val="24"/>
        </w:rPr>
        <w:t xml:space="preserve">В основу формирования ожидаемых показателей в 2016 году заложены такие основные предпосылки, как:</w:t>
      </w:r>
    </w:p>
    <w:p>
      <w:pPr>
        <w:spacing w:after="60"/>
        <w:ind w:firstLine="567"/>
        <w:jc w:val="both"/>
      </w:pPr>
      <w:r>
        <w:rPr>
          <w:rFonts w:ascii="Arial" w:cs="Arial" w:eastAsia="Arial" w:hAnsi="Arial"/>
          <w:sz w:val="24"/>
          <w:szCs w:val="24"/>
        </w:rPr>
        <w:t xml:space="preserve">- благоприятное влияние природно-климатических факторов;</w:t>
      </w:r>
    </w:p>
    <w:p>
      <w:pPr>
        <w:spacing w:after="60"/>
        <w:ind w:firstLine="567"/>
        <w:jc w:val="both"/>
      </w:pPr>
      <w:r>
        <w:rPr>
          <w:rFonts w:ascii="Arial" w:cs="Arial" w:eastAsia="Arial" w:hAnsi="Arial"/>
          <w:sz w:val="24"/>
          <w:szCs w:val="24"/>
        </w:rPr>
        <w:t xml:space="preserve">- стабильная работа предприятия по разработке месторождения Кумтор;</w:t>
      </w:r>
    </w:p>
    <w:p>
      <w:pPr>
        <w:spacing w:after="60"/>
        <w:ind w:firstLine="567"/>
        <w:jc w:val="both"/>
      </w:pPr>
      <w:r>
        <w:rPr>
          <w:rFonts w:ascii="Arial" w:cs="Arial" w:eastAsia="Arial" w:hAnsi="Arial"/>
          <w:sz w:val="24"/>
          <w:szCs w:val="24"/>
        </w:rPr>
        <w:t xml:space="preserve">- активизация работы по запуску простаивающих предприятий, наращиванию мощностей действующих предприятий республики, созданию новых объектов промышленного производства;</w:t>
      </w:r>
    </w:p>
    <w:p>
      <w:pPr>
        <w:spacing w:after="60"/>
        <w:ind w:firstLine="567"/>
        <w:jc w:val="both"/>
      </w:pPr>
      <w:r>
        <w:rPr>
          <w:rFonts w:ascii="Arial" w:cs="Arial" w:eastAsia="Arial" w:hAnsi="Arial"/>
          <w:sz w:val="24"/>
          <w:szCs w:val="24"/>
        </w:rPr>
        <w:t xml:space="preserve">- обеспечение эффективной работы и наращивание объемов производства на вновь введенных предприятиях;</w:t>
      </w:r>
    </w:p>
    <w:p>
      <w:pPr>
        <w:spacing w:after="60"/>
        <w:ind w:firstLine="567"/>
        <w:jc w:val="both"/>
      </w:pPr>
      <w:r>
        <w:rPr>
          <w:rFonts w:ascii="Arial" w:cs="Arial" w:eastAsia="Arial" w:hAnsi="Arial"/>
          <w:sz w:val="24"/>
          <w:szCs w:val="24"/>
        </w:rPr>
        <w:t xml:space="preserve">- ожидание увеличения притока воды и, как следствие, восстановление объемов производства электроэнергии;</w:t>
      </w:r>
    </w:p>
    <w:p>
      <w:pPr>
        <w:spacing w:after="60"/>
        <w:ind w:firstLine="567"/>
        <w:jc w:val="both"/>
      </w:pPr>
      <w:r>
        <w:rPr>
          <w:rFonts w:ascii="Arial" w:cs="Arial" w:eastAsia="Arial" w:hAnsi="Arial"/>
          <w:sz w:val="24"/>
          <w:szCs w:val="24"/>
        </w:rPr>
        <w:t xml:space="preserve">- ожидаемое поступление чистого притока денежных переводов физических лиц, осуществленных через системы переводов, на уровне 2015 года;</w:t>
      </w:r>
    </w:p>
    <w:p>
      <w:pPr>
        <w:spacing w:after="60"/>
        <w:ind w:firstLine="567"/>
        <w:jc w:val="both"/>
      </w:pPr>
      <w:r>
        <w:rPr>
          <w:rFonts w:ascii="Arial" w:cs="Arial" w:eastAsia="Arial" w:hAnsi="Arial"/>
          <w:sz w:val="24"/>
          <w:szCs w:val="24"/>
        </w:rPr>
        <w:t xml:space="preserve">- реализация инвестиционных проектов и мер, заложенных в Плане действий Правительства Кыргызской Республики по реализации Программы Правительства Кыргызской Республики "Стабильность, доверие и новые возможности" на 2016 год (постановление Правительства Кыргызской Республики от 29 января 2016 года № 41);</w:t>
      </w:r>
    </w:p>
    <w:p>
      <w:pPr>
        <w:spacing w:after="60"/>
        <w:ind w:firstLine="567"/>
        <w:jc w:val="both"/>
      </w:pPr>
      <w:r>
        <w:rPr>
          <w:rFonts w:ascii="Arial" w:cs="Arial" w:eastAsia="Arial" w:hAnsi="Arial"/>
          <w:sz w:val="24"/>
          <w:szCs w:val="24"/>
        </w:rPr>
        <w:t xml:space="preserve">- реализация в полном объеме проектов за счет увеличения капитальных вложений из государственного бюджета в 2016 году;</w:t>
      </w:r>
    </w:p>
    <w:p>
      <w:pPr>
        <w:spacing w:after="60"/>
        <w:ind w:firstLine="567"/>
        <w:jc w:val="both"/>
      </w:pPr>
      <w:r>
        <w:rPr>
          <w:rFonts w:ascii="Arial" w:cs="Arial" w:eastAsia="Arial" w:hAnsi="Arial"/>
          <w:sz w:val="24"/>
          <w:szCs w:val="24"/>
        </w:rPr>
        <w:t xml:space="preserve">- стабилизация потребительского спроса;</w:t>
      </w:r>
    </w:p>
    <w:p>
      <w:pPr>
        <w:spacing w:after="60"/>
        <w:ind w:firstLine="567"/>
        <w:jc w:val="both"/>
      </w:pPr>
      <w:r>
        <w:rPr>
          <w:rFonts w:ascii="Arial" w:cs="Arial" w:eastAsia="Arial" w:hAnsi="Arial"/>
          <w:sz w:val="24"/>
          <w:szCs w:val="24"/>
        </w:rPr>
        <w:t xml:space="preserve">- умеренный рост в сфере услуг (реальные объемы торговли будут расти умеренными темпами из-за ужесточения таможенного контроля со стороны стран ЕАЭС (сокращение реэкспорта товаров);</w:t>
      </w:r>
    </w:p>
    <w:p>
      <w:pPr>
        <w:spacing w:after="60"/>
        <w:ind w:firstLine="567"/>
        <w:jc w:val="both"/>
      </w:pPr>
      <w:r>
        <w:rPr>
          <w:rFonts w:ascii="Arial" w:cs="Arial" w:eastAsia="Arial" w:hAnsi="Arial"/>
          <w:sz w:val="24"/>
          <w:szCs w:val="24"/>
        </w:rPr>
        <w:t xml:space="preserve">- изменение условий внешнеэкономической деятельности в связи с вступлением Кыргызской Республики в ЕАЭС;</w:t>
      </w:r>
    </w:p>
    <w:p>
      <w:pPr>
        <w:spacing w:after="60"/>
        <w:ind w:firstLine="567"/>
        <w:jc w:val="both"/>
      </w:pPr>
      <w:r>
        <w:rPr>
          <w:rFonts w:ascii="Arial" w:cs="Arial" w:eastAsia="Arial" w:hAnsi="Arial"/>
          <w:sz w:val="24"/>
          <w:szCs w:val="24"/>
        </w:rPr>
        <w:t xml:space="preserve">- волатильность обменного курса иностранной валюты по отношению к сому;</w:t>
      </w:r>
    </w:p>
    <w:p>
      <w:pPr>
        <w:spacing w:after="60"/>
        <w:ind w:firstLine="567"/>
        <w:jc w:val="both"/>
      </w:pPr>
      <w:r>
        <w:rPr>
          <w:rFonts w:ascii="Arial" w:cs="Arial" w:eastAsia="Arial" w:hAnsi="Arial"/>
          <w:sz w:val="24"/>
          <w:szCs w:val="24"/>
        </w:rPr>
        <w:t xml:space="preserve">- создание благоприятных условий для ведения бизнеса через сокращения государственного вмешательства;</w:t>
      </w:r>
    </w:p>
    <w:p>
      <w:pPr>
        <w:spacing w:after="60"/>
        <w:ind w:firstLine="567"/>
        <w:jc w:val="both"/>
      </w:pPr>
      <w:r>
        <w:rPr>
          <w:rFonts w:ascii="Arial" w:cs="Arial" w:eastAsia="Arial" w:hAnsi="Arial"/>
          <w:sz w:val="24"/>
          <w:szCs w:val="24"/>
        </w:rPr>
        <w:t xml:space="preserve">- продолжение предоставления льготных кредитов фермерам, малому и среднему предпринимательству.</w:t>
      </w:r>
    </w:p>
    <w:p>
      <w:pPr>
        <w:spacing w:after="60"/>
        <w:ind w:firstLine="567"/>
        <w:jc w:val="both"/>
      </w:pPr>
      <w:r>
        <w:rPr>
          <w:rFonts w:ascii="Arial" w:cs="Arial" w:eastAsia="Arial" w:hAnsi="Arial"/>
          <w:sz w:val="24"/>
          <w:szCs w:val="24"/>
        </w:rPr>
        <w:t xml:space="preserve">В результате экономический рост в 2016 году ожидается на уровне 2,7%, а без учета предприятий по разработке месторождения Кумтор - на уровне 3,0%. Номинальный объем ВВП в 2016 году ожидается в сумме 454,4 млрд. сомов.</w:t>
      </w:r>
    </w:p>
    <w:p>
      <w:pPr>
        <w:spacing w:after="60"/>
        <w:ind w:firstLine="567"/>
        <w:jc w:val="both"/>
      </w:pPr>
      <w:r>
        <w:rPr>
          <w:rFonts w:ascii="Arial" w:cs="Arial" w:eastAsia="Arial" w:hAnsi="Arial"/>
          <w:sz w:val="24"/>
          <w:szCs w:val="24"/>
        </w:rPr>
        <w:t xml:space="preserve">Основные ожидаемые социально-экономические показатели в 2016 году сложатся следующим образом:</w:t>
      </w:r>
    </w:p>
    <w:p>
      <w:pPr>
        <w:spacing w:after="60" w:before="120"/>
        <w:ind w:firstLine="567"/>
        <w:jc w:val="right"/>
      </w:pPr>
      <w:r>
        <w:rPr>
          <w:rFonts w:ascii="Arial" w:cs="Arial" w:eastAsia="Arial" w:hAnsi="Arial"/>
          <w:sz w:val="24"/>
          <w:szCs w:val="24"/>
        </w:rPr>
        <w:t xml:space="preserve">Таблица 8</w:t>
      </w:r>
    </w:p>
    <w:p>
      <w:pPr>
        <w:spacing w:after="200" w:before="200"/>
        <w:jc w:val="center"/>
      </w:pPr>
      <w:r>
        <w:rPr>
          <w:rFonts w:ascii="Arial" w:cs="Arial" w:eastAsia="Arial" w:hAnsi="Arial"/>
          <w:b/>
          <w:bCs/>
          <w:sz w:val="32"/>
          <w:szCs w:val="32"/>
        </w:rPr>
        <w:t xml:space="preserve">Структура и темпы роста по секторам, формирующим ВВП</w:t>
      </w:r>
    </w:p>
    <w:p>
      <w:pPr>
        <w:spacing w:after="120"/>
        <w:jc w:val="center"/>
      </w:pPr>
      <w:r>
        <w:rPr>
          <w:rFonts w:ascii="Arial" w:cs="Arial" w:eastAsia="Arial" w:hAnsi="Arial"/>
          <w:sz w:val="24"/>
          <w:szCs w:val="24"/>
        </w:rPr>
        <w:t xml:space="preserve">(темпы прироста приведены по ВДС)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37"/>
        <w:gridCol w:w="1111"/>
        <w:gridCol w:w="1111"/>
        <w:gridCol w:w="1111"/>
        <w:gridCol w:w="1127"/>
        <w:gridCol w:w="1127"/>
        <w:gridCol w:w="1127"/>
        <w:gridCol w:w="1127"/>
      </w:tblGrid>
      <w:tr>
        <w:tc>
          <w:tcPr>
            <w:tcW w:type="dxa" w:w="233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3"/>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 предв. факт</w:t>
            </w:r>
          </w:p>
        </w:tc>
        <w:tc>
          <w:tcPr>
            <w:tcW w:type="dxa" w:w="450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ожид.</w:t>
            </w:r>
          </w:p>
        </w:tc>
      </w:tr>
      <w:tr>
        <w:tc>
          <w:tcPr>
            <w:vMerge w:val="continue"/>
            <w:tcBorders>
              <w:top w:val="single" w:color="CBBF9E" w:sz="4"/>
              <w:left w:val="single" w:color="CBBF9E" w:sz="4"/>
              <w:bottom w:val="single" w:color="CBBF9E" w:sz="4"/>
              <w:right w:val="single" w:color="CBBF9E" w:sz="4"/>
            </w:tcBorders>
          </w:tcP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вклада в рост ВВП, п.п.</w:t>
            </w:r>
          </w:p>
        </w:tc>
      </w:tr>
      <w:tr>
        <w:tc>
          <w:tcPr>
            <w:tcW w:type="dxa" w:w="23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423635,5</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454389,0</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r>
      <w:tr>
        <w:tc>
          <w:tcPr>
            <w:tcW w:type="dxa" w:w="23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59395,6</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62166,4</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13,68</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0,21</w:t>
            </w:r>
          </w:p>
        </w:tc>
      </w:tr>
      <w:tr>
        <w:tc>
          <w:tcPr>
            <w:tcW w:type="dxa" w:w="23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64959,7</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95,8</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69103,0</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15,21</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0,21</w:t>
            </w:r>
          </w:p>
        </w:tc>
      </w:tr>
      <w:tr>
        <w:tc>
          <w:tcPr>
            <w:tcW w:type="dxa" w:w="23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35322,9</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113,9</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39253,2</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8,64</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0,67</w:t>
            </w:r>
          </w:p>
        </w:tc>
      </w:tr>
      <w:tr>
        <w:tc>
          <w:tcPr>
            <w:tcW w:type="dxa" w:w="23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212901,9</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229132,5</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50,43</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w:t>
            </w:r>
          </w:p>
        </w:tc>
      </w:tr>
      <w:tr>
        <w:tc>
          <w:tcPr>
            <w:tcW w:type="dxa" w:w="23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продуты и импорт</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51055,4</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54733,9</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12,04</w:t>
            </w:r>
          </w:p>
        </w:tc>
        <w:tc>
          <w:tcPr>
            <w:tcW w:type="dxa" w:w="11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w:t>
            </w:r>
          </w:p>
        </w:tc>
      </w:tr>
    </w:tbl>
    <w:p>
      <w:pPr>
        <w:spacing w:after="60" w:before="120"/>
        <w:ind w:firstLine="567"/>
        <w:jc w:val="both"/>
      </w:pPr>
      <w:r>
        <w:rPr>
          <w:rFonts w:ascii="Arial" w:cs="Arial" w:eastAsia="Arial" w:hAnsi="Arial"/>
          <w:sz w:val="24"/>
          <w:szCs w:val="24"/>
        </w:rPr>
        <w:t xml:space="preserve">Ожидаемый экономический рост на уровне 2,7% будет обеспечиваться положительным вкладом в ВВП всех секторов экономики, в том числе за счет роста производства: (1) сельского хозяйства - на 1,5%; (2) строительного сектора - на 8,1%; (3) сектора услуг - на 2,6%; (4) промышленности - на 1,4%. Наибольший вклад будет обеспечен со стороны сектора услуг (1,31 процентного пункта), вклады строительства (0,67 процентного пункта), сельского хозяйства и промышленности (0,21 процентного пункта) будут умеренными.</w:t>
      </w:r>
    </w:p>
    <w:p>
      <w:pPr>
        <w:spacing w:after="60"/>
        <w:ind w:firstLine="567"/>
        <w:jc w:val="both"/>
      </w:pPr>
      <w:r>
        <w:rPr>
          <w:rFonts w:ascii="Arial" w:cs="Arial" w:eastAsia="Arial" w:hAnsi="Arial"/>
          <w:sz w:val="24"/>
          <w:szCs w:val="24"/>
        </w:rPr>
        <w:t xml:space="preserve">В основных секторах экономики ожидаемые показатели на 2016 год выглядят следующем образом:</w:t>
      </w:r>
    </w:p>
    <w:p>
      <w:pPr>
        <w:spacing w:after="60"/>
        <w:ind w:firstLine="567"/>
        <w:jc w:val="both"/>
      </w:pPr>
      <w:r>
        <w:rPr>
          <w:rFonts w:ascii="Arial" w:cs="Arial" w:eastAsia="Arial" w:hAnsi="Arial"/>
          <w:sz w:val="24"/>
          <w:szCs w:val="24"/>
        </w:rPr>
        <w:t xml:space="preserve">1) в сельском хозяйстве в 2016 году темп реального прироста ожидается на уровне 1,5% за счет прироста в растениеводстве на 0,7% и животноводстве - на 2,5%. Удельный вес в общем объеме ВВП составит 13,7%, а вклад в рост ВВП - 0,21 процентных пункта.</w:t>
      </w:r>
    </w:p>
    <w:p>
      <w:pPr>
        <w:spacing w:after="60"/>
        <w:ind w:firstLine="567"/>
        <w:jc w:val="both"/>
      </w:pPr>
      <w:r>
        <w:rPr>
          <w:rFonts w:ascii="Arial" w:cs="Arial" w:eastAsia="Arial" w:hAnsi="Arial"/>
          <w:sz w:val="24"/>
          <w:szCs w:val="24"/>
        </w:rPr>
        <w:t xml:space="preserve">В основу ожидаемых показателей в сельском хозяйстве заложены следующие предпосылки:</w:t>
      </w:r>
    </w:p>
    <w:p>
      <w:pPr>
        <w:spacing w:after="60"/>
        <w:ind w:firstLine="567"/>
        <w:jc w:val="both"/>
      </w:pPr>
      <w:r>
        <w:rPr>
          <w:rFonts w:ascii="Arial" w:cs="Arial" w:eastAsia="Arial" w:hAnsi="Arial"/>
          <w:sz w:val="24"/>
          <w:szCs w:val="24"/>
        </w:rPr>
        <w:t xml:space="preserve">- влияние благоприятных природно-климатических условий;</w:t>
      </w:r>
    </w:p>
    <w:p>
      <w:pPr>
        <w:spacing w:after="60"/>
        <w:ind w:firstLine="567"/>
        <w:jc w:val="both"/>
      </w:pPr>
      <w:r>
        <w:rPr>
          <w:rFonts w:ascii="Arial" w:cs="Arial" w:eastAsia="Arial" w:hAnsi="Arial"/>
          <w:sz w:val="24"/>
          <w:szCs w:val="24"/>
        </w:rPr>
        <w:t xml:space="preserve">- увеличение урожайности почти всех культур;</w:t>
      </w:r>
    </w:p>
    <w:p>
      <w:pPr>
        <w:spacing w:after="60"/>
        <w:ind w:firstLine="567"/>
        <w:jc w:val="both"/>
      </w:pPr>
      <w:r>
        <w:rPr>
          <w:rFonts w:ascii="Arial" w:cs="Arial" w:eastAsia="Arial" w:hAnsi="Arial"/>
          <w:sz w:val="24"/>
          <w:szCs w:val="24"/>
        </w:rPr>
        <w:t xml:space="preserve">- увеличение поголовья крупного рогатого скота;</w:t>
      </w:r>
    </w:p>
    <w:p>
      <w:pPr>
        <w:spacing w:after="60"/>
        <w:ind w:firstLine="567"/>
        <w:jc w:val="both"/>
      </w:pPr>
      <w:r>
        <w:rPr>
          <w:rFonts w:ascii="Arial" w:cs="Arial" w:eastAsia="Arial" w:hAnsi="Arial"/>
          <w:sz w:val="24"/>
          <w:szCs w:val="24"/>
        </w:rPr>
        <w:t xml:space="preserve">- оптимизация структуры посевных площадей;</w:t>
      </w:r>
    </w:p>
    <w:p>
      <w:pPr>
        <w:spacing w:after="60"/>
        <w:ind w:firstLine="567"/>
        <w:jc w:val="both"/>
      </w:pPr>
      <w:r>
        <w:rPr>
          <w:rFonts w:ascii="Arial" w:cs="Arial" w:eastAsia="Arial" w:hAnsi="Arial"/>
          <w:sz w:val="24"/>
          <w:szCs w:val="24"/>
        </w:rPr>
        <w:t xml:space="preserve">- строительство тепличных хозяйств;</w:t>
      </w:r>
    </w:p>
    <w:p>
      <w:pPr>
        <w:spacing w:after="60"/>
        <w:ind w:firstLine="567"/>
        <w:jc w:val="both"/>
      </w:pPr>
      <w:r>
        <w:rPr>
          <w:rFonts w:ascii="Arial" w:cs="Arial" w:eastAsia="Arial" w:hAnsi="Arial"/>
          <w:sz w:val="24"/>
          <w:szCs w:val="24"/>
        </w:rPr>
        <w:t xml:space="preserve">- строительство убойных цехов;</w:t>
      </w:r>
    </w:p>
    <w:p>
      <w:pPr>
        <w:spacing w:after="60"/>
        <w:ind w:firstLine="567"/>
        <w:jc w:val="both"/>
      </w:pPr>
      <w:r>
        <w:rPr>
          <w:rFonts w:ascii="Arial" w:cs="Arial" w:eastAsia="Arial" w:hAnsi="Arial"/>
          <w:sz w:val="24"/>
          <w:szCs w:val="24"/>
        </w:rPr>
        <w:t xml:space="preserve">- активное использование систем капельного орошения;</w:t>
      </w:r>
    </w:p>
    <w:p>
      <w:pPr>
        <w:spacing w:after="60"/>
        <w:ind w:firstLine="567"/>
        <w:jc w:val="both"/>
      </w:pPr>
      <w:r>
        <w:rPr>
          <w:rFonts w:ascii="Arial" w:cs="Arial" w:eastAsia="Arial" w:hAnsi="Arial"/>
          <w:sz w:val="24"/>
          <w:szCs w:val="24"/>
        </w:rPr>
        <w:t xml:space="preserve">- эффект от предоставленных ранее льготных кредитов по проектам "Доступные кредиты фермерам", "Финансирование сельского хозяйства 1, 2, 3" и продолжение в 2016 году кредитования сельскохозяйственного производства (в 2011-2015 годах выделено кредитных средств на сумму 13,5 млрд. сомов, по состоянию на 19 мая 2016 года, в рамках реализации Проекта "Финансирование сельского хозяйства - 4" выдано 7269 льготных кредитов на общую сумму 2453,5 млрд. сомов, в том числе на развитие животноводства - 1849,4 млн. сомов, растениеводства - 421,3 млн. сомов, перерабатывающих производств - 182,7 млн. сомов);</w:t>
      </w:r>
    </w:p>
    <w:p>
      <w:pPr>
        <w:spacing w:after="60"/>
        <w:ind w:firstLine="567"/>
        <w:jc w:val="both"/>
      </w:pPr>
      <w:r>
        <w:rPr>
          <w:rFonts w:ascii="Arial" w:cs="Arial" w:eastAsia="Arial" w:hAnsi="Arial"/>
          <w:sz w:val="24"/>
          <w:szCs w:val="24"/>
        </w:rPr>
        <w:t xml:space="preserve">2) в промышленном секторе (без учета стоимости переработанного давальческого сырья) в 2016 году в целом ожидается выход на положительную динамику развития по сравнению с 2015 годом (95,6%) и физический объем составит 101,9% за счет:</w:t>
      </w:r>
    </w:p>
    <w:p>
      <w:pPr>
        <w:spacing w:after="60"/>
        <w:ind w:firstLine="567"/>
        <w:jc w:val="both"/>
      </w:pPr>
      <w:r>
        <w:rPr>
          <w:rFonts w:ascii="Arial" w:cs="Arial" w:eastAsia="Arial" w:hAnsi="Arial"/>
          <w:sz w:val="24"/>
          <w:szCs w:val="24"/>
        </w:rPr>
        <w:t xml:space="preserve">- стабильной работы предприятия по разработке месторождения Кумтор, где объем производства основных металлов ожидается в количестве 520,0 тыс. унций;</w:t>
      </w:r>
    </w:p>
    <w:p>
      <w:pPr>
        <w:spacing w:after="60"/>
        <w:ind w:firstLine="567"/>
        <w:jc w:val="both"/>
      </w:pPr>
      <w:r>
        <w:rPr>
          <w:rFonts w:ascii="Arial" w:cs="Arial" w:eastAsia="Arial" w:hAnsi="Arial"/>
          <w:sz w:val="24"/>
          <w:szCs w:val="24"/>
        </w:rPr>
        <w:t xml:space="preserve">- сохранения объемов производства в 2016 году в открытом акционерном обществе "Кыргызалтын" почти на уровне объемов 2015 года;</w:t>
      </w:r>
    </w:p>
    <w:p>
      <w:pPr>
        <w:spacing w:after="60"/>
        <w:ind w:firstLine="567"/>
        <w:jc w:val="both"/>
      </w:pPr>
      <w:r>
        <w:rPr>
          <w:rFonts w:ascii="Arial" w:cs="Arial" w:eastAsia="Arial" w:hAnsi="Arial"/>
          <w:sz w:val="24"/>
          <w:szCs w:val="24"/>
        </w:rPr>
        <w:t xml:space="preserve">- обеспечения эффективной работы на месторождении Талды-Булак Левобережный и выпуска первого объема продукции после тестового запуска предприятия в декабре 2015 года;</w:t>
      </w:r>
    </w:p>
    <w:p>
      <w:pPr>
        <w:spacing w:after="60"/>
        <w:ind w:firstLine="567"/>
        <w:jc w:val="both"/>
      </w:pPr>
      <w:r>
        <w:rPr>
          <w:rFonts w:ascii="Arial" w:cs="Arial" w:eastAsia="Arial" w:hAnsi="Arial"/>
          <w:sz w:val="24"/>
          <w:szCs w:val="24"/>
        </w:rPr>
        <w:t xml:space="preserve">- наращивания объемов производства нефтепродуктов до 300 тыс. т за счет уточненных объемов на нефтеперерабатывающем заводе "Петроль Компани "Джунда" и Токмакском нефтеперерабатывающем заводе;</w:t>
      </w:r>
    </w:p>
    <w:p>
      <w:pPr>
        <w:spacing w:after="60"/>
        <w:ind w:firstLine="567"/>
        <w:jc w:val="both"/>
      </w:pPr>
      <w:r>
        <w:rPr>
          <w:rFonts w:ascii="Arial" w:cs="Arial" w:eastAsia="Arial" w:hAnsi="Arial"/>
          <w:sz w:val="24"/>
          <w:szCs w:val="24"/>
        </w:rPr>
        <w:t xml:space="preserve">- увеличения добычи металлических руд в 2,3 раза в связи с наращиванием объемов производства на месторождениях Бозымчак, Иштамберди, Кара-Казык;</w:t>
      </w:r>
    </w:p>
    <w:p>
      <w:pPr>
        <w:spacing w:after="60"/>
        <w:ind w:firstLine="567"/>
        <w:jc w:val="both"/>
      </w:pPr>
      <w:r>
        <w:rPr>
          <w:rFonts w:ascii="Arial" w:cs="Arial" w:eastAsia="Arial" w:hAnsi="Arial"/>
          <w:sz w:val="24"/>
          <w:szCs w:val="24"/>
        </w:rPr>
        <w:t xml:space="preserve">- достижения объемов пищеперерабатывающего производства уровня 2015 года. Обеспечение запланированных объемов ожидается за счет увеличения производства безалкогольных напитков, мясной продукции, макаронной продукции, сахара и чая. При этом ожидается снижение производства молочной продукции из-за ограниченности экспорта молочной продукции Кыргызской Республики в Казахстан и другие страны, а также производства муки и круп, обусловленное отсутствием сбыта продукции местных производителей, так как рынок заполнен более дешевой казахстанской мукой;</w:t>
      </w:r>
    </w:p>
    <w:p>
      <w:pPr>
        <w:spacing w:after="60"/>
        <w:ind w:firstLine="567"/>
        <w:jc w:val="both"/>
      </w:pPr>
      <w:r>
        <w:rPr>
          <w:rFonts w:ascii="Arial" w:cs="Arial" w:eastAsia="Arial" w:hAnsi="Arial"/>
          <w:sz w:val="24"/>
          <w:szCs w:val="24"/>
        </w:rPr>
        <w:t xml:space="preserve">- обеспечения запланированных объемов производства на угледобывающих предприятиях и предприятиях по производству строительных материалов;</w:t>
      </w:r>
    </w:p>
    <w:p>
      <w:pPr>
        <w:spacing w:after="60"/>
        <w:ind w:firstLine="567"/>
        <w:jc w:val="both"/>
      </w:pPr>
      <w:r>
        <w:rPr>
          <w:rFonts w:ascii="Arial" w:cs="Arial" w:eastAsia="Arial" w:hAnsi="Arial"/>
          <w:sz w:val="24"/>
          <w:szCs w:val="24"/>
        </w:rPr>
        <w:t xml:space="preserve">- продолжения работы по возобновлению деятельности простаивающих предприятий, оздоровлению хозяйствующих субъектов через процедуру банкротства, реструктуризации и др.;</w:t>
      </w:r>
    </w:p>
    <w:p>
      <w:pPr>
        <w:spacing w:after="60"/>
        <w:ind w:firstLine="567"/>
        <w:jc w:val="both"/>
      </w:pPr>
      <w:r>
        <w:rPr>
          <w:rFonts w:ascii="Arial" w:cs="Arial" w:eastAsia="Arial" w:hAnsi="Arial"/>
          <w:sz w:val="24"/>
          <w:szCs w:val="24"/>
        </w:rPr>
        <w:t xml:space="preserve">- снижения объемов текстильно-швейного производства из-за сужения потребительского спроса на рынках России, Казахстана;</w:t>
      </w:r>
    </w:p>
    <w:p>
      <w:pPr>
        <w:spacing w:after="60"/>
        <w:ind w:firstLine="567"/>
        <w:jc w:val="both"/>
      </w:pPr>
      <w:r>
        <w:rPr>
          <w:rFonts w:ascii="Arial" w:cs="Arial" w:eastAsia="Arial" w:hAnsi="Arial"/>
          <w:sz w:val="24"/>
          <w:szCs w:val="24"/>
        </w:rPr>
        <w:t xml:space="preserve">- постепенного восстановления выработки электроэнергии после резкого снижения в 2015 году в связи с низкой приточностыо воды в Токтогульском водохранилище. Выработка электроэнергии в 2016 году ожидается в объеме на 74,5 млн. кВт.ч больше чем в 2015 году. При этом объем выработки тепловой электростанцией (далее - ТЭЦ) города Бишкек снижается на 94,7 млн. кВт.ч, а гидроэлектростанцией (далее - ГЭС) увеличивается на 113,6 млн. кВт.ч. Снижение объема выработки электроэнергии ТЭЦ города Бишкек обусловлено оптимизацией режима загрузки станции по сравнению с 2015 годом. Исходя из сохранения и накопления водно-энергетических ресурсов, а также удовлетворения потребления электроэнергии на внутреннем рынке, в 2016 году предусмотрен импорт электроэнергии в объеме 900,0 млн. кВт.ч, в т.ч. взаимообмен составит 250 млн. кВт.ч.</w:t>
      </w:r>
    </w:p>
    <w:p>
      <w:pPr>
        <w:spacing w:after="60"/>
        <w:ind w:firstLine="567"/>
        <w:jc w:val="both"/>
      </w:pPr>
      <w:r>
        <w:rPr>
          <w:rFonts w:ascii="Arial" w:cs="Arial" w:eastAsia="Arial" w:hAnsi="Arial"/>
          <w:sz w:val="24"/>
          <w:szCs w:val="24"/>
        </w:rPr>
        <w:t xml:space="preserve">В результате ожидается положительный вклад сектора промышленности в рост ВВП, который составит 0,21 процентных пункта, с удельным весом в общем объеме ВВП 15,2%. Без учета предприятий по разработке месторождения Кумтор, рост промышленного производства ожидается на уровне 3,5% за счет устойчивой работы предприятий по добыче каменного угля и бурого угля (лигнита), сырой нефти, металлических руд, производства пищевых продуктов, резиновых и пластмассовых изделий, нефтепродуктов, электрооборудования, фармацевтических товаров, обеспечения (снабжение) электроэнергией, газом, паром и кондиционированным воздухом и др.;</w:t>
      </w:r>
    </w:p>
    <w:p>
      <w:pPr>
        <w:spacing w:after="60"/>
        <w:ind w:firstLine="567"/>
        <w:jc w:val="both"/>
      </w:pPr>
      <w:r>
        <w:rPr>
          <w:rFonts w:ascii="Arial" w:cs="Arial" w:eastAsia="Arial" w:hAnsi="Arial"/>
          <w:sz w:val="24"/>
          <w:szCs w:val="24"/>
        </w:rPr>
        <w:t xml:space="preserve">3) в секторе строительства в 2016 году ожидается увеличение общего объема капитальных вложений, который составит 137,0 млрд. сомов, обусловленное за счет увеличения нижеперечисленных средств:</w:t>
      </w:r>
    </w:p>
    <w:p>
      <w:pPr>
        <w:spacing w:after="60"/>
        <w:ind w:firstLine="567"/>
        <w:jc w:val="both"/>
      </w:pPr>
      <w:r>
        <w:rPr>
          <w:rFonts w:ascii="Arial" w:cs="Arial" w:eastAsia="Arial" w:hAnsi="Arial"/>
          <w:sz w:val="24"/>
          <w:szCs w:val="24"/>
        </w:rPr>
        <w:t xml:space="preserve">- в расходе республиканского бюджета по статье "Капитальные вложения" предусмотрены средства в сумме 4760,9 млн. сомов;</w:t>
      </w:r>
    </w:p>
    <w:p>
      <w:pPr>
        <w:spacing w:after="60"/>
        <w:ind w:firstLine="567"/>
        <w:jc w:val="both"/>
      </w:pPr>
      <w:r>
        <w:rPr>
          <w:rFonts w:ascii="Arial" w:cs="Arial" w:eastAsia="Arial" w:hAnsi="Arial"/>
          <w:sz w:val="24"/>
          <w:szCs w:val="24"/>
        </w:rPr>
        <w:t xml:space="preserve">- ожидается увеличение капитальных вложений из республиканского бюджета за счет дополнительных расходов: реконструкция автомобильной дороги Бишкек - Международный аэропорт "Манас" (753,4 млн. сомов), реконструкция автомобильной дороги 35 км Балыкчы - Тамчы - Корумду (500 млн. сомов);</w:t>
      </w:r>
    </w:p>
    <w:p>
      <w:pPr>
        <w:spacing w:after="60"/>
        <w:ind w:firstLine="567"/>
        <w:jc w:val="both"/>
      </w:pPr>
      <w:r>
        <w:rPr>
          <w:rFonts w:ascii="Arial" w:cs="Arial" w:eastAsia="Arial" w:hAnsi="Arial"/>
          <w:sz w:val="24"/>
          <w:szCs w:val="24"/>
        </w:rPr>
        <w:t xml:space="preserve">- ожидается увеличение капитальных вложений из республиканского бюджета на сумму 480 млн. сомов, связанных со строительством нового ипподрома в селе Бактуу-Долоноту Иссык-Кульской области, где осенью 2016 года пройдут II Всемирные игры кочевников, плюс 248 млн. сомов на подъездные пути;</w:t>
      </w:r>
    </w:p>
    <w:p>
      <w:pPr>
        <w:spacing w:after="60"/>
        <w:ind w:firstLine="567"/>
        <w:jc w:val="both"/>
      </w:pPr>
      <w:r>
        <w:rPr>
          <w:rFonts w:ascii="Arial" w:cs="Arial" w:eastAsia="Arial" w:hAnsi="Arial"/>
          <w:sz w:val="24"/>
          <w:szCs w:val="24"/>
        </w:rPr>
        <w:t xml:space="preserve">- поступление капитальных вложений за счет предприятий и организаций со стороны закрытого акционерного общества "Кумтор Голд компании" (7490,6 млн. сомов), открытого акционерного общества "Кыргызалтын" (114,3 млн. сомов), общества с ограниченной ответственностью "Газпром Кыргызстан" (27926,4 млн. сомов), общества с ограниченной ответственностью "Алтынкен" (328,8 млн. сомов), общества с ограниченной ответственностью "KAZ Minerals Bozymchak" (300,0 млн. сомов) и др.;</w:t>
      </w:r>
    </w:p>
    <w:p>
      <w:pPr>
        <w:spacing w:after="60"/>
        <w:ind w:firstLine="567"/>
        <w:jc w:val="both"/>
      </w:pPr>
      <w:r>
        <w:rPr>
          <w:rFonts w:ascii="Arial" w:cs="Arial" w:eastAsia="Arial" w:hAnsi="Arial"/>
          <w:sz w:val="24"/>
          <w:szCs w:val="24"/>
        </w:rPr>
        <w:t xml:space="preserve">- реализации инвестиционных проектов и мер, заложенных в Плане действий Правительства Кыргызской Республики по реализации Программы Правительства Кыргызской Республики "Стабильность, доверие и новые возможности" на 2016 год (постановление Правительства Кыргызской Республики от 29 января 2016 года № 41). В соответствии с Законом Кыргызской Республики "О республиканском бюджете Кыргызской Республики на 2016 год и прогнозе на 2017-2018 годы". Программой государственных инвестиций на 2016 год предусмотрено 44,6 млрд. сомов.</w:t>
      </w:r>
    </w:p>
    <w:p>
      <w:pPr>
        <w:spacing w:after="60"/>
        <w:ind w:firstLine="567"/>
        <w:jc w:val="both"/>
      </w:pPr>
      <w:r>
        <w:rPr>
          <w:rFonts w:ascii="Arial" w:cs="Arial" w:eastAsia="Arial" w:hAnsi="Arial"/>
          <w:sz w:val="24"/>
          <w:szCs w:val="24"/>
        </w:rPr>
        <w:t xml:space="preserve">Исходя из планируемых объемов капитализации экономики, ожидается реальное увеличение общего объема валовой продукции строительства в 2016 году на 8,1% и составит 129,0 млрд. сомов. Положительный вклад строительного сектора в темпы экономического роста составит 0,67 процентных пункта, а удельный вес в структуре производства ВВП - 8,6%;</w:t>
      </w:r>
    </w:p>
    <w:p>
      <w:pPr>
        <w:spacing w:after="60"/>
        <w:ind w:firstLine="567"/>
        <w:jc w:val="both"/>
      </w:pPr>
      <w:r>
        <w:rPr>
          <w:rFonts w:ascii="Arial" w:cs="Arial" w:eastAsia="Arial" w:hAnsi="Arial"/>
          <w:sz w:val="24"/>
          <w:szCs w:val="24"/>
        </w:rPr>
        <w:t xml:space="preserve">4) сфера услуг, по-прежнему, будет занимать доминирующую долю в структуре ВВП (50,4%) - в 2016 году реальный рост сферы услуг ожидается на уровне 2,7%. Замедление темпов роста сферы услуг по сравнению с предыдущими годами обусловлено замедлением роста валового выпуска торговли и услуг транспортной деятельности и хранения грузов.</w:t>
      </w:r>
    </w:p>
    <w:p>
      <w:pPr>
        <w:spacing w:after="60"/>
        <w:ind w:firstLine="567"/>
        <w:jc w:val="both"/>
      </w:pPr>
      <w:r>
        <w:rPr>
          <w:rFonts w:ascii="Arial" w:cs="Arial" w:eastAsia="Arial" w:hAnsi="Arial"/>
          <w:sz w:val="24"/>
          <w:szCs w:val="24"/>
        </w:rPr>
        <w:t xml:space="preserve">По предварительным данным, за январь-апрель 2016 года рост оптовой и розничной торговли; ремонта автомобилей и мотоциклов составил 4,4%, при этом рост оптовой торговли составил только 0,4%, что обусловлено снижением спроса на отечественную продукцию со стороны стран - основных торговых партнеров. До конца 2016 года ожидается, что данная динамика в оптовой торговле не претерпит серьезных изменений, вследствие чего темп роста оптовой и розничной торговли, ремонта автомобилей и мотоциклов в 2016 году замедлится до 5,2%.</w:t>
      </w:r>
    </w:p>
    <w:p>
      <w:pPr>
        <w:spacing w:after="60"/>
        <w:ind w:firstLine="567"/>
        <w:jc w:val="both"/>
      </w:pPr>
      <w:r>
        <w:rPr>
          <w:rFonts w:ascii="Arial" w:cs="Arial" w:eastAsia="Arial" w:hAnsi="Arial"/>
          <w:sz w:val="24"/>
          <w:szCs w:val="24"/>
        </w:rPr>
        <w:t xml:space="preserve">В 2016 году ожидается значительное замедление услуг по перевозке грузов, что обусловлено снижением импорта автомашин и нефтепродуктов и, соответственно, снижением показателей грузооборота на железнодорожном транспорте. По итогам 2016 года темп реального роста транспортной деятельности и хранения грузов замедлится до 0,5%.</w:t>
      </w:r>
    </w:p>
    <w:p>
      <w:pPr>
        <w:spacing w:after="60"/>
        <w:ind w:firstLine="567"/>
        <w:jc w:val="both"/>
      </w:pPr>
      <w:r>
        <w:rPr>
          <w:rFonts w:ascii="Arial" w:cs="Arial" w:eastAsia="Arial" w:hAnsi="Arial"/>
          <w:sz w:val="24"/>
          <w:szCs w:val="24"/>
        </w:rPr>
        <w:t xml:space="preserve">В 2016 году динамика индекса потребительских цен будет определяться разнонаправленными факторами (волатильность обменного курса национальной валюты к иностранным валютам, влияние мировых цен на продовольствие, инфляционные ожидания населения, изменение тарифной политики и т.д.), при этом ожидается в пределах однозначных значений.</w:t>
      </w:r>
    </w:p>
    <w:p>
      <w:pPr>
        <w:spacing w:after="60"/>
        <w:ind w:firstLine="567"/>
        <w:jc w:val="both"/>
      </w:pPr>
      <w:r>
        <w:rPr>
          <w:rFonts w:ascii="Arial" w:cs="Arial" w:eastAsia="Arial" w:hAnsi="Arial"/>
          <w:sz w:val="24"/>
          <w:szCs w:val="24"/>
        </w:rPr>
        <w:t xml:space="preserve">Сдерживающее влияние на внутренние цены продолжит оказывать благоприятная ценовая, ситуация на мировых рынках продовольствия и сырья. Несмотря на некоторое улучшение прогнозов макроэкономического развития стран - основных торговых партнеров Кыргызстана, внешний фон может оставаться напряженным, что обуславливает сохранение повышенного инфляционного давления.</w:t>
      </w:r>
    </w:p>
    <w:p>
      <w:pPr>
        <w:spacing w:after="60"/>
        <w:ind w:firstLine="567"/>
        <w:jc w:val="both"/>
      </w:pPr>
      <w:r>
        <w:rPr>
          <w:rFonts w:ascii="Arial" w:cs="Arial" w:eastAsia="Arial" w:hAnsi="Arial"/>
          <w:sz w:val="24"/>
          <w:szCs w:val="24"/>
        </w:rPr>
        <w:t xml:space="preserve">Развитие экономики в странах - основных торговых партнерах оказывает непосредственное влияние на экономику Кыргызской Республики, поэтому уровень инфляции в стране будет зависеть от влияния улучшения или ухудшения внешней конъюнктуры рынка. Рост уровня инфляции в Российской Федерации ожидается до 7,5%, в Республике Казахстан - в коридоре 6,0-8,0%, в Республике Беларусь - до 12,0%, в Армении - до 2,5-5,5%.</w:t>
      </w:r>
    </w:p>
    <w:p>
      <w:pPr>
        <w:spacing w:after="60"/>
        <w:ind w:firstLine="567"/>
        <w:jc w:val="both"/>
      </w:pPr>
      <w:r>
        <w:rPr>
          <w:rFonts w:ascii="Arial" w:cs="Arial" w:eastAsia="Arial" w:hAnsi="Arial"/>
          <w:sz w:val="24"/>
          <w:szCs w:val="24"/>
        </w:rPr>
        <w:t xml:space="preserve">Кыргызская Республика является импортозависимой страной, и большая часть продовольственных товаров (занимают в потребительской корзине 47,4%) и непродовольственных товаров (удельный вес - 29,1%) ввозится из стран - основных торговых партнеров и оплачивается в иностранной валюте, что также будет оказывать определенное влияние на рост/снижение цен, который будет зависеть от колебания обменного курса, а также роста/снижения цен на продовольственные и импорт.</w:t>
      </w:r>
    </w:p>
    <w:p>
      <w:pPr>
        <w:spacing w:after="60"/>
        <w:ind w:firstLine="567"/>
        <w:jc w:val="both"/>
      </w:pPr>
      <w:r>
        <w:rPr>
          <w:rFonts w:ascii="Arial" w:cs="Arial" w:eastAsia="Arial" w:hAnsi="Arial"/>
          <w:sz w:val="24"/>
          <w:szCs w:val="24"/>
        </w:rPr>
        <w:t xml:space="preserve">Однако воздействие на инфляцию будут продолжать оказывать прогнозы международных организаций по основным видам продуктов, данные прогнозы будут положительно/отрицательно сказываться на динамике потребительских цен на продовольственные товары, которые наиболее существенно влияют на инфляцию.</w:t>
      </w:r>
    </w:p>
    <w:p>
      <w:pPr>
        <w:spacing w:after="60"/>
        <w:ind w:firstLine="567"/>
        <w:jc w:val="both"/>
      </w:pPr>
      <w:r>
        <w:rPr>
          <w:rFonts w:ascii="Arial" w:cs="Arial" w:eastAsia="Arial" w:hAnsi="Arial"/>
          <w:sz w:val="24"/>
          <w:szCs w:val="24"/>
        </w:rPr>
        <w:t xml:space="preserve">ФАО (по данным сводки ФАО "Предложение зерновых и спрос на зерновые" за май 2016 года) повысила прогноз по мировому производству зерновых в 2016 году почти до 2526 млн. тонн, что практически находится на уровне 2015 года и потенциально может стать вторым самым крупным урожаем за всю историю. Повышение этого показателя стало следствием улучшения прогноза по производству пшеницы, поскольку зимой погодные условия были благоприятными для будущих урожаев в Европейском союзе, Российской Федерации и Украине. Прогноз на урожай в 2016 году составляет 717 млн. тонн, что на 16 млн. тонн меньше рекордного урожая 2015 года.</w:t>
      </w:r>
    </w:p>
    <w:p>
      <w:pPr>
        <w:spacing w:after="60"/>
        <w:ind w:firstLine="567"/>
        <w:jc w:val="both"/>
      </w:pPr>
      <w:r>
        <w:rPr>
          <w:rFonts w:ascii="Arial" w:cs="Arial" w:eastAsia="Arial" w:hAnsi="Arial"/>
          <w:sz w:val="24"/>
          <w:szCs w:val="24"/>
        </w:rPr>
        <w:t xml:space="preserve">Хороший урожай, прогнозируемый в Российской Федерации (прогноз пшеницы повышен с 61 до 61,044 млн. тонн) и Республике Казахстан (прогноз производства пшеницы составляет 13,5 млн. тонн, экспорт - 6,5 млн. тонн), а также повышение прогноза по мировому производству зерновых будет благоприятно влиять на цены на продовольственные товары.</w:t>
      </w:r>
    </w:p>
    <w:p>
      <w:pPr>
        <w:spacing w:after="60"/>
        <w:ind w:firstLine="567"/>
        <w:jc w:val="both"/>
      </w:pPr>
      <w:r>
        <w:rPr>
          <w:rFonts w:ascii="Arial" w:cs="Arial" w:eastAsia="Arial" w:hAnsi="Arial"/>
          <w:sz w:val="24"/>
          <w:szCs w:val="24"/>
        </w:rPr>
        <w:t xml:space="preserve">Однако, по прогнозу Международного Совета (ЮС) по зерну мировой урожай пшеницы должен снизиться с 734 млн. тонн в сезоне 2016-2017 годов до 713 млн. тонн, что приведет к сокращению запасов в мире с 214 до 211 млн. тонн соответственно. При этом для следующего сезона 2016-2017 годов повышены ставки по всем показателям. Прогноз для сезона 2016-2017 годов увеличен по производству пшеницы с 713 до 717 млн. тонн и по конечным запасам - с 211 до 218 млн. тонн. Данные по объему торговли не изменились - 153 млн. тонн, а уровень потребления снизился с 716 до 715 млн. тонн.</w:t>
      </w:r>
    </w:p>
    <w:p>
      <w:pPr>
        <w:spacing w:after="60"/>
        <w:ind w:firstLine="567"/>
        <w:jc w:val="both"/>
      </w:pPr>
      <w:r>
        <w:rPr>
          <w:rFonts w:ascii="Arial" w:cs="Arial" w:eastAsia="Arial" w:hAnsi="Arial"/>
          <w:sz w:val="24"/>
          <w:szCs w:val="24"/>
        </w:rPr>
        <w:t xml:space="preserve">В целях недопущения резких колебаний обменного курса, предотвращения спекулятивных операций на валютном рынке, недопущения резкого повышения цен на товары, услуги и горюче-смазочные материалы будут реализовываться антикризисные мероприятия и мероприятия по укреплению национальной валюты и дедолларизации экономики, заложенные в Плане действий Правительства Кыргызской Республики по реализации Программы Правительства Кыргызской Республики "Стабильность, доверие и новые возможности" на 2016 год (постановление Правительства Кыргызской Республики от 29 января 2016 года № 41), где основными мерами являются:</w:t>
      </w:r>
    </w:p>
    <w:p>
      <w:pPr>
        <w:spacing w:after="60"/>
        <w:ind w:firstLine="567"/>
        <w:jc w:val="both"/>
      </w:pPr>
      <w:r>
        <w:rPr>
          <w:rFonts w:ascii="Arial" w:cs="Arial" w:eastAsia="Arial" w:hAnsi="Arial"/>
          <w:sz w:val="24"/>
          <w:szCs w:val="24"/>
        </w:rPr>
        <w:t xml:space="preserve">- проведение валютных интервенций в целях сглаживания резких колебаний обменного курса сома;</w:t>
      </w:r>
    </w:p>
    <w:p>
      <w:pPr>
        <w:spacing w:after="60"/>
        <w:ind w:firstLine="567"/>
        <w:jc w:val="both"/>
      </w:pPr>
      <w:r>
        <w:rPr>
          <w:rFonts w:ascii="Arial" w:cs="Arial" w:eastAsia="Arial" w:hAnsi="Arial"/>
          <w:sz w:val="24"/>
          <w:szCs w:val="24"/>
        </w:rPr>
        <w:t xml:space="preserve">- проведение оценки товарных запасов продуктов питания (продовольственная пшеница, мясо, масло, сахар и др.) и горюче-смазочных материалов, при необходимости, осуществление товарной интервенции;</w:t>
      </w:r>
    </w:p>
    <w:p>
      <w:pPr>
        <w:spacing w:after="60"/>
        <w:ind w:firstLine="567"/>
        <w:jc w:val="both"/>
      </w:pPr>
      <w:r>
        <w:rPr>
          <w:rFonts w:ascii="Arial" w:cs="Arial" w:eastAsia="Arial" w:hAnsi="Arial"/>
          <w:sz w:val="24"/>
          <w:szCs w:val="24"/>
        </w:rPr>
        <w:t xml:space="preserve">- усиление работы по проведению постоянных совместных рейдов по обменным бюро и ужесточению наказания за безлицензионную деятельность;</w:t>
      </w:r>
    </w:p>
    <w:p>
      <w:pPr>
        <w:spacing w:after="60"/>
        <w:ind w:firstLine="567"/>
        <w:jc w:val="both"/>
      </w:pPr>
      <w:r>
        <w:rPr>
          <w:rFonts w:ascii="Arial" w:cs="Arial" w:eastAsia="Arial" w:hAnsi="Arial"/>
          <w:sz w:val="24"/>
          <w:szCs w:val="24"/>
        </w:rPr>
        <w:t xml:space="preserve">- внесение предложений по созданию механизма трансформации ипотечных кредитов бюджетных работников и социально уязвимых слоев населения, полученных в иностранной валюте;</w:t>
      </w:r>
    </w:p>
    <w:p>
      <w:pPr>
        <w:spacing w:after="60"/>
        <w:ind w:firstLine="567"/>
        <w:jc w:val="both"/>
      </w:pPr>
      <w:r>
        <w:rPr>
          <w:rFonts w:ascii="Arial" w:cs="Arial" w:eastAsia="Arial" w:hAnsi="Arial"/>
          <w:sz w:val="24"/>
          <w:szCs w:val="24"/>
        </w:rPr>
        <w:t xml:space="preserve">- осуществление мониторинга цен на социально значимые товары и услуги (мука, хлеб, мясо, молоко, масло, сахар, горюче-смазочные материалы и др.);</w:t>
      </w:r>
    </w:p>
    <w:p>
      <w:pPr>
        <w:spacing w:after="60"/>
        <w:ind w:firstLine="567"/>
        <w:jc w:val="both"/>
      </w:pPr>
      <w:r>
        <w:rPr>
          <w:rFonts w:ascii="Arial" w:cs="Arial" w:eastAsia="Arial" w:hAnsi="Arial"/>
          <w:sz w:val="24"/>
          <w:szCs w:val="24"/>
        </w:rPr>
        <w:t xml:space="preserve">- усиление контроля над нелегальным ввозом товаров и повышение уровня администрирования доходов;</w:t>
      </w:r>
    </w:p>
    <w:p>
      <w:pPr>
        <w:spacing w:after="60"/>
        <w:ind w:firstLine="567"/>
        <w:jc w:val="both"/>
      </w:pPr>
      <w:r>
        <w:rPr>
          <w:rFonts w:ascii="Arial" w:cs="Arial" w:eastAsia="Arial" w:hAnsi="Arial"/>
          <w:sz w:val="24"/>
          <w:szCs w:val="24"/>
        </w:rPr>
        <w:t xml:space="preserve">- создание механизма стимулирования сбережений населения в национальной валюте по сравнению с долларовыми сбережениями;</w:t>
      </w:r>
    </w:p>
    <w:p>
      <w:pPr>
        <w:spacing w:after="60"/>
        <w:ind w:firstLine="567"/>
        <w:jc w:val="both"/>
      </w:pPr>
      <w:r>
        <w:rPr>
          <w:rFonts w:ascii="Arial" w:cs="Arial" w:eastAsia="Arial" w:hAnsi="Arial"/>
          <w:sz w:val="24"/>
          <w:szCs w:val="24"/>
        </w:rPr>
        <w:t xml:space="preserve">- совершенствование структуры отраслей экономики (диверсификация экономики);</w:t>
      </w:r>
    </w:p>
    <w:p>
      <w:pPr>
        <w:spacing w:after="60"/>
        <w:ind w:firstLine="567"/>
        <w:jc w:val="both"/>
      </w:pPr>
      <w:r>
        <w:rPr>
          <w:rFonts w:ascii="Arial" w:cs="Arial" w:eastAsia="Arial" w:hAnsi="Arial"/>
          <w:sz w:val="24"/>
          <w:szCs w:val="24"/>
        </w:rPr>
        <w:t xml:space="preserve">- проведение информационных кампаний по формированию у населения доверия к национальной валюте, как единственному средству платежа, а к иностранной валюте - не более чем как к резервной валюте.</w:t>
      </w:r>
    </w:p>
    <w:p>
      <w:pPr>
        <w:spacing w:after="60"/>
        <w:ind w:firstLine="567"/>
        <w:jc w:val="both"/>
      </w:pPr>
      <w:r>
        <w:rPr>
          <w:rFonts w:ascii="Arial" w:cs="Arial" w:eastAsia="Arial" w:hAnsi="Arial"/>
          <w:sz w:val="24"/>
          <w:szCs w:val="24"/>
        </w:rPr>
        <w:t xml:space="preserve">В целях сглаживания колебаний обменного курса, в случае необходимости, Национальным банком проводятся валютные интервенции по покупке и продаже иностранной валюты.</w:t>
      </w:r>
    </w:p>
    <w:p>
      <w:pPr>
        <w:spacing w:after="60"/>
        <w:ind w:firstLine="567"/>
        <w:jc w:val="both"/>
      </w:pPr>
      <w:r>
        <w:rPr>
          <w:rFonts w:ascii="Arial" w:cs="Arial" w:eastAsia="Arial" w:hAnsi="Arial"/>
          <w:sz w:val="24"/>
          <w:szCs w:val="24"/>
        </w:rPr>
        <w:t xml:space="preserve">В региональном разрезе основная доля производства ВВП в 2016 году будет обеспечиваться за счет функционирования экономик города Бишкек, Чуйской, Иссык-Кульской, Джалал-Абадской областей, с удельным весом 76,83%, суммарный вклад которых в ВВП республики составил 2,26%. Значительная доля в общем объеме производства ВВП Джалал-Абадской (11,37%) и Иссык-Кульской (12,11%) областей связана с тем, что на территории Джалал-Абадской области производится около 90,0% вырабатываемой в республике электроэнергии, а на территории Иссык-Кульской области расположены предприятия по разработке месторождения Кумтор.</w:t>
      </w:r>
    </w:p>
    <w:p>
      <w:pPr>
        <w:spacing w:after="60"/>
        <w:ind w:firstLine="567"/>
        <w:jc w:val="both"/>
      </w:pPr>
      <w:r>
        <w:rPr>
          <w:rFonts w:ascii="Arial" w:cs="Arial" w:eastAsia="Arial" w:hAnsi="Arial"/>
          <w:sz w:val="24"/>
          <w:szCs w:val="24"/>
        </w:rPr>
        <w:t xml:space="preserve">Оставшаяся часть доли производства ВВП распределилась с наименьшим вкладом на уровне 0,44% - Ошская, Баткенская, Нарынская, Таласская области и город Ош.</w:t>
      </w:r>
    </w:p>
    <w:p>
      <w:pPr>
        <w:spacing w:after="60" w:before="120"/>
        <w:ind w:firstLine="567"/>
        <w:jc w:val="right"/>
      </w:pPr>
      <w:r>
        <w:rPr>
          <w:rFonts w:ascii="Arial" w:cs="Arial" w:eastAsia="Arial" w:hAnsi="Arial"/>
          <w:sz w:val="24"/>
          <w:szCs w:val="24"/>
        </w:rPr>
        <w:t xml:space="preserve">Таблица 9</w:t>
      </w:r>
    </w:p>
    <w:p>
      <w:pPr>
        <w:spacing w:after="200" w:before="200"/>
        <w:jc w:val="center"/>
      </w:pPr>
      <w:r>
        <w:rPr>
          <w:rFonts w:ascii="Arial" w:cs="Arial" w:eastAsia="Arial" w:hAnsi="Arial"/>
          <w:b/>
          <w:bCs/>
          <w:sz w:val="32"/>
          <w:szCs w:val="32"/>
        </w:rPr>
        <w:t xml:space="preserve">Вклады регионов в производство ВВП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91"/>
        <w:gridCol w:w="1341"/>
        <w:gridCol w:w="1341"/>
        <w:gridCol w:w="1351"/>
        <w:gridCol w:w="1351"/>
        <w:gridCol w:w="1351"/>
        <w:gridCol w:w="1351"/>
      </w:tblGrid>
      <w:tr>
        <w:tc>
          <w:tcPr>
            <w:tcW w:type="dxa" w:w="209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268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 оценка</w:t>
            </w:r>
          </w:p>
        </w:tc>
        <w:tc>
          <w:tcPr>
            <w:tcW w:type="dxa" w:w="540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ожидаемое</w:t>
            </w:r>
          </w:p>
        </w:tc>
      </w:tr>
      <w:tr>
        <w:tc>
          <w:tcPr>
            <w:vMerge w:val="continue"/>
            <w:tcBorders>
              <w:top w:val="single" w:color="CBBF9E" w:sz="4"/>
              <w:left w:val="single" w:color="CBBF9E" w:sz="4"/>
              <w:bottom w:val="single" w:color="CBBF9E" w:sz="4"/>
              <w:right w:val="single" w:color="CBBF9E" w:sz="4"/>
            </w:tcBorders>
          </w:tcP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Вклад в рост ВВП, п.п.</w:t>
            </w:r>
          </w:p>
        </w:tc>
      </w:tr>
      <w:tr>
        <w:tc>
          <w:tcPr>
            <w:tcW w:type="dxa" w:w="2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(республика)</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423635,5</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454389,0</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r>
      <w:tr>
        <w:tc>
          <w:tcPr>
            <w:tcW w:type="dxa" w:w="2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17561,5</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18369,4</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r>
      <w:tr>
        <w:tc>
          <w:tcPr>
            <w:tcW w:type="dxa" w:w="2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48167,1</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51680,0</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11,37</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0,38</w:t>
            </w:r>
          </w:p>
        </w:tc>
      </w:tr>
      <w:tr>
        <w:tc>
          <w:tcPr>
            <w:tcW w:type="dxa" w:w="2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52683,8</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55026,9</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12,11</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w:t>
            </w:r>
          </w:p>
        </w:tc>
      </w:tr>
      <w:tr>
        <w:tc>
          <w:tcPr>
            <w:tcW w:type="dxa" w:w="2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11960,9</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12961,3</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w:t>
            </w:r>
          </w:p>
        </w:tc>
      </w:tr>
      <w:tr>
        <w:tc>
          <w:tcPr>
            <w:tcW w:type="dxa" w:w="2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32655,3</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34238,9</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7,54</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w:t>
            </w:r>
          </w:p>
        </w:tc>
      </w:tr>
      <w:tr>
        <w:tc>
          <w:tcPr>
            <w:tcW w:type="dxa" w:w="2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13840,9</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14643,0</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3,22</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w:t>
            </w:r>
          </w:p>
        </w:tc>
      </w:tr>
      <w:tr>
        <w:tc>
          <w:tcPr>
            <w:tcW w:type="dxa" w:w="2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66131,9</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70964,4</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15,62</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0,52</w:t>
            </w:r>
          </w:p>
        </w:tc>
      </w:tr>
      <w:tr>
        <w:tc>
          <w:tcPr>
            <w:tcW w:type="dxa" w:w="2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157164,3</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99,7</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171413</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37,72</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w:t>
            </w:r>
          </w:p>
        </w:tc>
      </w:tr>
      <w:tr>
        <w:tc>
          <w:tcPr>
            <w:tcW w:type="dxa" w:w="20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23469,8</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25091,9</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w:t>
            </w:r>
          </w:p>
        </w:tc>
        <w:tc>
          <w:tcPr>
            <w:tcW w:type="dxa" w:w="1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w:t>
            </w:r>
          </w:p>
        </w:tc>
      </w:tr>
    </w:tbl>
    <w:p>
      <w:pPr>
        <w:spacing w:after="60" w:before="120"/>
        <w:ind w:firstLine="567"/>
        <w:jc w:val="both"/>
      </w:pPr>
      <w:r>
        <w:rPr>
          <w:rFonts w:ascii="Arial" w:cs="Arial" w:eastAsia="Arial" w:hAnsi="Arial"/>
          <w:sz w:val="24"/>
          <w:szCs w:val="24"/>
        </w:rPr>
        <w:t xml:space="preserve">Принимая во внимание ожидаемые параметры развития экономики в 2016 году, основные социальные показатели, характеризующие уровень жизни, будут складываться следующим образом:</w:t>
      </w:r>
    </w:p>
    <w:p>
      <w:pPr>
        <w:spacing w:after="60"/>
        <w:ind w:firstLine="567"/>
        <w:jc w:val="both"/>
      </w:pPr>
      <w:r>
        <w:rPr>
          <w:rFonts w:ascii="Arial" w:cs="Arial" w:eastAsia="Arial" w:hAnsi="Arial"/>
          <w:sz w:val="24"/>
          <w:szCs w:val="24"/>
        </w:rPr>
        <w:t xml:space="preserve">- объем ВВП на душу населения в 2016 году увеличится на 4,4% и ожидается в размере 77,7 тыс. сомов;</w:t>
      </w:r>
    </w:p>
    <w:p>
      <w:pPr>
        <w:spacing w:after="60"/>
        <w:ind w:firstLine="567"/>
        <w:jc w:val="both"/>
      </w:pPr>
      <w:r>
        <w:rPr>
          <w:rFonts w:ascii="Arial" w:cs="Arial" w:eastAsia="Arial" w:hAnsi="Arial"/>
          <w:sz w:val="24"/>
          <w:szCs w:val="24"/>
        </w:rPr>
        <w:t xml:space="preserve">- ожидается, что денежные доходы населения номинально возрастут на 6,8%, а реальный темп прироста денежных доходов с учетом ожидаемого роста потребительских цен - на 5,7%;</w:t>
      </w:r>
    </w:p>
    <w:p>
      <w:pPr>
        <w:spacing w:after="60"/>
        <w:ind w:firstLine="567"/>
        <w:jc w:val="both"/>
      </w:pPr>
      <w:r>
        <w:rPr>
          <w:rFonts w:ascii="Arial" w:cs="Arial" w:eastAsia="Arial" w:hAnsi="Arial"/>
          <w:sz w:val="24"/>
          <w:szCs w:val="24"/>
        </w:rPr>
        <w:t xml:space="preserve">- в структуре денежных доходов ожидается рост заработной платы, среднемесячный номинальный размер возрастет на 6,4%, а реальный рост - на 5,3%. Номинальный размер среднемесячной пенсии увеличится на 5,9%, а ее реальный размер - на 4,7%;</w:t>
      </w:r>
    </w:p>
    <w:p>
      <w:pPr>
        <w:spacing w:after="60"/>
        <w:ind w:firstLine="567"/>
        <w:jc w:val="both"/>
      </w:pPr>
      <w:r>
        <w:rPr>
          <w:rFonts w:ascii="Arial" w:cs="Arial" w:eastAsia="Arial" w:hAnsi="Arial"/>
          <w:sz w:val="24"/>
          <w:szCs w:val="24"/>
        </w:rPr>
        <w:t xml:space="preserve">- создание рабочих мест и рост численности занятых в экономике ожидается за счет мер политики в области занятости населения, направленных на определение спроса и предложения на рынке труда, совершенствование профессиональной подготовки и переподготовки безработных граждан, активные меры по созданию рабочих мест посредством выдачи микрокредитов.</w:t>
      </w:r>
    </w:p>
    <w:p>
      <w:pPr>
        <w:spacing w:after="200" w:before="200"/>
        <w:jc w:val="center"/>
      </w:pPr>
      <w:r>
        <w:rPr>
          <w:rFonts w:ascii="Arial" w:cs="Arial" w:eastAsia="Arial" w:hAnsi="Arial"/>
          <w:b/>
          <w:bCs/>
          <w:sz w:val="24"/>
          <w:szCs w:val="24"/>
        </w:rPr>
        <w:t xml:space="preserve">5. Макроэкономический прогноз на 2017 год</w:t>
      </w:r>
    </w:p>
    <w:p>
      <w:pPr>
        <w:spacing w:after="60" w:before="200"/>
        <w:ind w:firstLine="567"/>
        <w:jc w:val="left"/>
      </w:pPr>
      <w:r>
        <w:rPr>
          <w:rFonts w:ascii="Arial" w:cs="Arial" w:eastAsia="Arial" w:hAnsi="Arial"/>
          <w:b/>
          <w:bCs/>
          <w:sz w:val="24"/>
          <w:szCs w:val="24"/>
        </w:rPr>
        <w:t xml:space="preserve">5.1. Макроэкономическая политика</w:t>
      </w:r>
    </w:p>
    <w:p>
      <w:pPr>
        <w:spacing w:after="60"/>
        <w:ind w:firstLine="567"/>
        <w:jc w:val="both"/>
      </w:pPr>
      <w:r>
        <w:rPr>
          <w:rFonts w:ascii="Arial" w:cs="Arial" w:eastAsia="Arial" w:hAnsi="Arial"/>
          <w:sz w:val="24"/>
          <w:szCs w:val="24"/>
        </w:rPr>
        <w:t xml:space="preserve">Главной целью экономической политики на 2017 год является сохранение макроэкономической стабильности и обеспечение положительной динамики экономического роста во всех секторах экономики.</w:t>
      </w:r>
    </w:p>
    <w:p>
      <w:pPr>
        <w:spacing w:after="60"/>
        <w:ind w:firstLine="567"/>
        <w:jc w:val="both"/>
      </w:pPr>
      <w:r>
        <w:rPr>
          <w:rFonts w:ascii="Arial" w:cs="Arial" w:eastAsia="Arial" w:hAnsi="Arial"/>
          <w:sz w:val="24"/>
          <w:szCs w:val="24"/>
        </w:rPr>
        <w:t xml:space="preserve">В 2017 году экономическое развитие страны, несмотря на существующие вызовы и тенденции, а также внутренние ограничения для экономического прогресса, будет осуществляться на основе проведения активной политики по формированию и усилению экономического потенциала в соответствии с основными ориентирами и задачами, заложенными в НСУР.</w:t>
      </w:r>
    </w:p>
    <w:p>
      <w:pPr>
        <w:spacing w:after="60"/>
        <w:ind w:firstLine="567"/>
        <w:jc w:val="both"/>
      </w:pPr>
      <w:r>
        <w:rPr>
          <w:rFonts w:ascii="Arial" w:cs="Arial" w:eastAsia="Arial" w:hAnsi="Arial"/>
          <w:sz w:val="24"/>
          <w:szCs w:val="24"/>
        </w:rPr>
        <w:t xml:space="preserve">Членство Кыргызстана в ЕАЭС будет выступать фактором обеспечения дополнительной устойчивости и развития экономики и одновременно являться ответом на указанные вызовы благодаря интеграционным мерам и действиям.</w:t>
      </w:r>
    </w:p>
    <w:p>
      <w:pPr>
        <w:spacing w:after="60"/>
        <w:ind w:firstLine="567"/>
        <w:jc w:val="both"/>
      </w:pPr>
      <w:r>
        <w:rPr>
          <w:rFonts w:ascii="Arial" w:cs="Arial" w:eastAsia="Arial" w:hAnsi="Arial"/>
          <w:sz w:val="24"/>
          <w:szCs w:val="24"/>
        </w:rPr>
        <w:t xml:space="preserve">В основу разработки макроэкономической политики на 2017 год заложены следующие предпосылки и условия:</w:t>
      </w:r>
    </w:p>
    <w:p>
      <w:pPr>
        <w:spacing w:after="60"/>
        <w:ind w:firstLine="567"/>
        <w:jc w:val="both"/>
      </w:pPr>
      <w:r>
        <w:rPr>
          <w:rFonts w:ascii="Arial" w:cs="Arial" w:eastAsia="Arial" w:hAnsi="Arial"/>
          <w:sz w:val="24"/>
          <w:szCs w:val="24"/>
        </w:rPr>
        <w:t xml:space="preserve">Благоприятные факторы воздействия:</w:t>
      </w:r>
    </w:p>
    <w:p>
      <w:pPr>
        <w:spacing w:after="60"/>
        <w:ind w:firstLine="567"/>
        <w:jc w:val="both"/>
      </w:pPr>
      <w:r>
        <w:rPr>
          <w:rFonts w:ascii="Arial" w:cs="Arial" w:eastAsia="Arial" w:hAnsi="Arial"/>
          <w:sz w:val="24"/>
          <w:szCs w:val="24"/>
        </w:rPr>
        <w:t xml:space="preserve">- политическая стабильность в регионе и странах - основных торговых партнерах;</w:t>
      </w:r>
    </w:p>
    <w:p>
      <w:pPr>
        <w:spacing w:after="60"/>
        <w:ind w:firstLine="567"/>
        <w:jc w:val="both"/>
      </w:pPr>
      <w:r>
        <w:rPr>
          <w:rFonts w:ascii="Arial" w:cs="Arial" w:eastAsia="Arial" w:hAnsi="Arial"/>
          <w:sz w:val="24"/>
          <w:szCs w:val="24"/>
        </w:rPr>
        <w:t xml:space="preserve">- прогнозируемое постепенное оздоровление мировой экономики (рост на 3,5%), еврозоны (на 1,6%), Китайской Народной Республики (на 6,2%); и выход на положительный прогнозируемый экономический рост стран-членов ЕАЭС - в Российской Федерации (на 0,8%), Республике Беларусь (на 0,4%), Республике Казахстан (на 1,1%), Республике Армении (на 2,5%),</w:t>
      </w:r>
    </w:p>
    <w:p>
      <w:pPr>
        <w:spacing w:after="60"/>
        <w:ind w:firstLine="567"/>
        <w:jc w:val="both"/>
      </w:pPr>
      <w:r>
        <w:rPr>
          <w:rFonts w:ascii="Arial" w:cs="Arial" w:eastAsia="Arial" w:hAnsi="Arial"/>
          <w:sz w:val="24"/>
          <w:szCs w:val="24"/>
        </w:rPr>
        <w:t xml:space="preserve">- прогнозируемый умеренный рост инфляции (в % к декабрю предыдущего года) в странах - основных торговых партнерах Кыргызской Республики в Российской Федерации (4,9%), Казахстане (6,0-8,0%), Китайской Народной Республике (2,0%);</w:t>
      </w:r>
    </w:p>
    <w:p>
      <w:pPr>
        <w:spacing w:after="60"/>
        <w:ind w:firstLine="567"/>
        <w:jc w:val="both"/>
      </w:pPr>
      <w:r>
        <w:rPr>
          <w:rFonts w:ascii="Arial" w:cs="Arial" w:eastAsia="Arial" w:hAnsi="Arial"/>
          <w:sz w:val="24"/>
          <w:szCs w:val="24"/>
        </w:rPr>
        <w:t xml:space="preserve">- сдерживание резких колебаний обменного курса инструментами денежно-кредитной политики;</w:t>
      </w:r>
    </w:p>
    <w:p>
      <w:pPr>
        <w:spacing w:after="60"/>
        <w:ind w:firstLine="567"/>
        <w:jc w:val="both"/>
      </w:pPr>
      <w:r>
        <w:rPr>
          <w:rFonts w:ascii="Arial" w:cs="Arial" w:eastAsia="Arial" w:hAnsi="Arial"/>
          <w:sz w:val="24"/>
          <w:szCs w:val="24"/>
        </w:rPr>
        <w:t xml:space="preserve">- активное использование членства Кыргызской Республики во Всемирной торговой организации и углубление сотрудничества с международными экономическими и финансовыми организациями;</w:t>
      </w:r>
    </w:p>
    <w:p>
      <w:pPr>
        <w:spacing w:after="60"/>
        <w:ind w:firstLine="567"/>
        <w:jc w:val="both"/>
      </w:pPr>
      <w:r>
        <w:rPr>
          <w:rFonts w:ascii="Arial" w:cs="Arial" w:eastAsia="Arial" w:hAnsi="Arial"/>
          <w:sz w:val="24"/>
          <w:szCs w:val="24"/>
        </w:rPr>
        <w:t xml:space="preserve">- развитие экспортных операций и приоритетных секторов с высоким экспортным потенциалом на основе реализации Плана Правительства Кыргызской Республики по развитию экспорта Кыргызской Республики на 2015-2017 годы (постановление Правительства Кыргызской Республики от 31 марта 2015 года № 174);</w:t>
      </w:r>
    </w:p>
    <w:p>
      <w:pPr>
        <w:spacing w:after="60"/>
        <w:ind w:firstLine="567"/>
        <w:jc w:val="both"/>
      </w:pPr>
      <w:r>
        <w:rPr>
          <w:rFonts w:ascii="Arial" w:cs="Arial" w:eastAsia="Arial" w:hAnsi="Arial"/>
          <w:sz w:val="24"/>
          <w:szCs w:val="24"/>
        </w:rPr>
        <w:t xml:space="preserve">- повышение привлекательности бизнес-среды и рост деловой активности хозяйствующих субъектов на фоне улучшения инвестиционного климата;</w:t>
      </w:r>
    </w:p>
    <w:p>
      <w:pPr>
        <w:spacing w:after="60"/>
        <w:ind w:firstLine="567"/>
        <w:jc w:val="both"/>
      </w:pPr>
      <w:r>
        <w:rPr>
          <w:rFonts w:ascii="Arial" w:cs="Arial" w:eastAsia="Arial" w:hAnsi="Arial"/>
          <w:sz w:val="24"/>
          <w:szCs w:val="24"/>
        </w:rPr>
        <w:t xml:space="preserve">- реализация крупных инвестиционных проектов;</w:t>
      </w:r>
    </w:p>
    <w:p>
      <w:pPr>
        <w:spacing w:after="60"/>
        <w:ind w:firstLine="567"/>
        <w:jc w:val="both"/>
      </w:pPr>
      <w:r>
        <w:rPr>
          <w:rFonts w:ascii="Arial" w:cs="Arial" w:eastAsia="Arial" w:hAnsi="Arial"/>
          <w:sz w:val="24"/>
          <w:szCs w:val="24"/>
        </w:rPr>
        <w:t xml:space="preserve">- стабильная работа действующих и наращивание объемов введенных предприятий;</w:t>
      </w:r>
    </w:p>
    <w:p>
      <w:pPr>
        <w:spacing w:after="60"/>
        <w:ind w:firstLine="567"/>
        <w:jc w:val="both"/>
      </w:pPr>
      <w:r>
        <w:rPr>
          <w:rFonts w:ascii="Arial" w:cs="Arial" w:eastAsia="Arial" w:hAnsi="Arial"/>
          <w:sz w:val="24"/>
          <w:szCs w:val="24"/>
        </w:rPr>
        <w:t xml:space="preserve">- повышение конкурентоспособности отечественных производителей на рынках государств-членов ЕАЭС;</w:t>
      </w:r>
    </w:p>
    <w:p>
      <w:pPr>
        <w:spacing w:after="60"/>
        <w:ind w:firstLine="567"/>
        <w:jc w:val="both"/>
      </w:pPr>
      <w:r>
        <w:rPr>
          <w:rFonts w:ascii="Arial" w:cs="Arial" w:eastAsia="Arial" w:hAnsi="Arial"/>
          <w:sz w:val="24"/>
          <w:szCs w:val="24"/>
        </w:rPr>
        <w:t xml:space="preserve">- значительные подвижки интеграции в торгово-логистические сети стран-членов ЕАЭС и увеличение потока товаров из третьих стран в ЕАЭС;</w:t>
      </w:r>
    </w:p>
    <w:p>
      <w:pPr>
        <w:spacing w:after="60"/>
        <w:ind w:firstLine="567"/>
        <w:jc w:val="both"/>
      </w:pPr>
      <w:r>
        <w:rPr>
          <w:rFonts w:ascii="Arial" w:cs="Arial" w:eastAsia="Arial" w:hAnsi="Arial"/>
          <w:sz w:val="24"/>
          <w:szCs w:val="24"/>
        </w:rPr>
        <w:t xml:space="preserve">- увеличение чистого притока денежных переводов физических лиц, осуществленных через системы переводов;</w:t>
      </w:r>
    </w:p>
    <w:p>
      <w:pPr>
        <w:spacing w:after="60"/>
        <w:ind w:firstLine="567"/>
        <w:jc w:val="both"/>
      </w:pPr>
      <w:r>
        <w:rPr>
          <w:rFonts w:ascii="Arial" w:cs="Arial" w:eastAsia="Arial" w:hAnsi="Arial"/>
          <w:sz w:val="24"/>
          <w:szCs w:val="24"/>
        </w:rPr>
        <w:t xml:space="preserve">- увеличение потребительского спроса;</w:t>
      </w:r>
    </w:p>
    <w:p>
      <w:pPr>
        <w:spacing w:after="60"/>
        <w:ind w:firstLine="567"/>
        <w:jc w:val="both"/>
      </w:pPr>
      <w:r>
        <w:rPr>
          <w:rFonts w:ascii="Arial" w:cs="Arial" w:eastAsia="Arial" w:hAnsi="Arial"/>
          <w:sz w:val="24"/>
          <w:szCs w:val="24"/>
        </w:rPr>
        <w:t xml:space="preserve">- продолжение ежегодного предоставления льготных кредитов сельскохозяйственным производителям, что приведет к развитию аграрного сектора и перерабатывающей промышленности;</w:t>
      </w:r>
    </w:p>
    <w:p>
      <w:pPr>
        <w:spacing w:after="60"/>
        <w:ind w:firstLine="567"/>
        <w:jc w:val="both"/>
      </w:pPr>
      <w:r>
        <w:rPr>
          <w:rFonts w:ascii="Arial" w:cs="Arial" w:eastAsia="Arial" w:hAnsi="Arial"/>
          <w:sz w:val="24"/>
          <w:szCs w:val="24"/>
        </w:rPr>
        <w:t xml:space="preserve">- эффективная работа по снижению уровня теневой экономики (реализация Плана мероприятий государственных органов Кыргызской Республики по выполнению Государственной стратегии антикоррупционной политики Кыргызской Республики на 2015-2017 годы, утвержденного постановлением Правительства Кыргызской Республики от 30 марта 2015 года № 170);</w:t>
      </w:r>
    </w:p>
    <w:p>
      <w:pPr>
        <w:spacing w:after="60"/>
        <w:ind w:firstLine="567"/>
        <w:jc w:val="both"/>
      </w:pPr>
      <w:r>
        <w:rPr>
          <w:rFonts w:ascii="Arial" w:cs="Arial" w:eastAsia="Arial" w:hAnsi="Arial"/>
          <w:sz w:val="24"/>
          <w:szCs w:val="24"/>
        </w:rPr>
        <w:t xml:space="preserve">- содействие занятости населения, создание новых рабочих мест путем выдачи микрокредитов.</w:t>
      </w:r>
    </w:p>
    <w:p>
      <w:pPr>
        <w:spacing w:after="60"/>
        <w:ind w:firstLine="567"/>
        <w:jc w:val="both"/>
      </w:pPr>
      <w:r>
        <w:rPr>
          <w:rFonts w:ascii="Arial" w:cs="Arial" w:eastAsia="Arial" w:hAnsi="Arial"/>
          <w:sz w:val="24"/>
          <w:szCs w:val="24"/>
        </w:rPr>
        <w:t xml:space="preserve">Неблагоприятные факторы воздействия:</w:t>
      </w:r>
    </w:p>
    <w:p>
      <w:pPr>
        <w:spacing w:after="60"/>
        <w:ind w:firstLine="567"/>
        <w:jc w:val="both"/>
      </w:pPr>
      <w:r>
        <w:rPr>
          <w:rFonts w:ascii="Arial" w:cs="Arial" w:eastAsia="Arial" w:hAnsi="Arial"/>
          <w:sz w:val="24"/>
          <w:szCs w:val="24"/>
        </w:rPr>
        <w:t xml:space="preserve">- зависимость экономики страны от волатильности мировых цен на золото, энергоносители и другие сырьевые ресурсы;</w:t>
      </w:r>
    </w:p>
    <w:p>
      <w:pPr>
        <w:spacing w:after="60"/>
        <w:ind w:firstLine="567"/>
        <w:jc w:val="both"/>
      </w:pPr>
      <w:r>
        <w:rPr>
          <w:rFonts w:ascii="Arial" w:cs="Arial" w:eastAsia="Arial" w:hAnsi="Arial"/>
          <w:sz w:val="24"/>
          <w:szCs w:val="24"/>
        </w:rPr>
        <w:t xml:space="preserve">- зависимость внутреннего рынка от импорта продовольственной группы товаров (мука, растительное масло, сахар, крупы и т.д.);</w:t>
      </w:r>
    </w:p>
    <w:p>
      <w:pPr>
        <w:spacing w:after="60"/>
        <w:ind w:firstLine="567"/>
        <w:jc w:val="both"/>
      </w:pPr>
      <w:r>
        <w:rPr>
          <w:rFonts w:ascii="Arial" w:cs="Arial" w:eastAsia="Arial" w:hAnsi="Arial"/>
          <w:sz w:val="24"/>
          <w:szCs w:val="24"/>
        </w:rPr>
        <w:t xml:space="preserve">- открытость экономики, в значительной степени подверженной влиянию внешних шоков;</w:t>
      </w:r>
    </w:p>
    <w:p>
      <w:pPr>
        <w:spacing w:after="60"/>
        <w:ind w:firstLine="567"/>
        <w:jc w:val="both"/>
      </w:pPr>
      <w:r>
        <w:rPr>
          <w:rFonts w:ascii="Arial" w:cs="Arial" w:eastAsia="Arial" w:hAnsi="Arial"/>
          <w:sz w:val="24"/>
          <w:szCs w:val="24"/>
        </w:rPr>
        <w:t xml:space="preserve">- недиверсифицированность экономики: высокая зависимость промышленного сектора от результатов деятельности предприятий по разработке месторождения Кумтор;</w:t>
      </w:r>
    </w:p>
    <w:p>
      <w:pPr>
        <w:spacing w:after="60"/>
        <w:ind w:firstLine="567"/>
        <w:jc w:val="both"/>
      </w:pPr>
      <w:r>
        <w:rPr>
          <w:rFonts w:ascii="Arial" w:cs="Arial" w:eastAsia="Arial" w:hAnsi="Arial"/>
          <w:sz w:val="24"/>
          <w:szCs w:val="24"/>
        </w:rPr>
        <w:t xml:space="preserve">- природно-климатический фактор, который может оказать негативное воздействие на развитие агропромышленного комплекса и энергетики;</w:t>
      </w:r>
    </w:p>
    <w:p>
      <w:pPr>
        <w:spacing w:after="60"/>
        <w:ind w:firstLine="567"/>
        <w:jc w:val="both"/>
      </w:pPr>
      <w:r>
        <w:rPr>
          <w:rFonts w:ascii="Arial" w:cs="Arial" w:eastAsia="Arial" w:hAnsi="Arial"/>
          <w:sz w:val="24"/>
          <w:szCs w:val="24"/>
        </w:rPr>
        <w:t xml:space="preserve">- преобладание импорта в структуре внешнеторгового оборота;</w:t>
      </w:r>
    </w:p>
    <w:p>
      <w:pPr>
        <w:spacing w:after="60"/>
        <w:ind w:firstLine="567"/>
        <w:jc w:val="both"/>
      </w:pPr>
      <w:r>
        <w:rPr>
          <w:rFonts w:ascii="Arial" w:cs="Arial" w:eastAsia="Arial" w:hAnsi="Arial"/>
          <w:sz w:val="24"/>
          <w:szCs w:val="24"/>
        </w:rPr>
        <w:t xml:space="preserve">- ухудшение параметров государственного долга;</w:t>
      </w:r>
    </w:p>
    <w:p>
      <w:pPr>
        <w:spacing w:after="60"/>
        <w:ind w:firstLine="567"/>
        <w:jc w:val="both"/>
      </w:pPr>
      <w:r>
        <w:rPr>
          <w:rFonts w:ascii="Arial" w:cs="Arial" w:eastAsia="Arial" w:hAnsi="Arial"/>
          <w:sz w:val="24"/>
          <w:szCs w:val="24"/>
        </w:rPr>
        <w:t xml:space="preserve">- высокая доля неформальной экономики;</w:t>
      </w:r>
    </w:p>
    <w:p>
      <w:pPr>
        <w:spacing w:after="60"/>
        <w:ind w:firstLine="567"/>
        <w:jc w:val="both"/>
      </w:pPr>
      <w:r>
        <w:rPr>
          <w:rFonts w:ascii="Arial" w:cs="Arial" w:eastAsia="Arial" w:hAnsi="Arial"/>
          <w:sz w:val="24"/>
          <w:szCs w:val="24"/>
        </w:rPr>
        <w:t xml:space="preserve">- риски повышения уровня инфляции за счет роста цен на продовольственные товары.</w:t>
      </w:r>
    </w:p>
    <w:p>
      <w:pPr>
        <w:spacing w:after="60"/>
        <w:ind w:firstLine="567"/>
        <w:jc w:val="both"/>
      </w:pPr>
      <w:r>
        <w:rPr>
          <w:rFonts w:ascii="Arial" w:cs="Arial" w:eastAsia="Arial" w:hAnsi="Arial"/>
          <w:sz w:val="24"/>
          <w:szCs w:val="24"/>
        </w:rPr>
        <w:t xml:space="preserve">Исходя из приведенных внешних и внутренних предпосылок и условий развития, согласно произведенным расчетам, основные социально-экономические показатели на 2017 год прогнозируются следующим образом:</w:t>
      </w:r>
    </w:p>
    <w:p>
      <w:pPr>
        <w:spacing w:after="60" w:before="120"/>
        <w:ind w:firstLine="567"/>
        <w:jc w:val="right"/>
      </w:pPr>
      <w:r>
        <w:rPr>
          <w:rFonts w:ascii="Arial" w:cs="Arial" w:eastAsia="Arial" w:hAnsi="Arial"/>
          <w:sz w:val="24"/>
          <w:szCs w:val="24"/>
        </w:rPr>
        <w:t xml:space="preserve">Таблица 10</w:t>
      </w:r>
    </w:p>
    <w:p>
      <w:pPr>
        <w:spacing w:after="120" w:before="200"/>
        <w:jc w:val="center"/>
      </w:pPr>
      <w:r>
        <w:rPr>
          <w:rFonts w:ascii="Arial" w:cs="Arial" w:eastAsia="Arial" w:hAnsi="Arial"/>
          <w:b/>
          <w:bCs/>
          <w:sz w:val="32"/>
          <w:szCs w:val="32"/>
        </w:rPr>
        <w:t xml:space="preserve">Структура и темпы роста по секторам, формирующим ВВП</w:t>
      </w:r>
    </w:p>
    <w:p>
      <w:pPr>
        <w:spacing w:after="120"/>
        <w:jc w:val="center"/>
      </w:pPr>
      <w:r>
        <w:rPr>
          <w:rFonts w:ascii="Arial" w:cs="Arial" w:eastAsia="Arial" w:hAnsi="Arial"/>
          <w:sz w:val="24"/>
          <w:szCs w:val="24"/>
        </w:rPr>
        <w:t xml:space="preserve">(темпы прироста приведены по ВДС)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83"/>
        <w:gridCol w:w="999"/>
        <w:gridCol w:w="999"/>
        <w:gridCol w:w="999"/>
        <w:gridCol w:w="999"/>
        <w:gridCol w:w="1000"/>
        <w:gridCol w:w="1000"/>
        <w:gridCol w:w="1000"/>
        <w:gridCol w:w="1000"/>
      </w:tblGrid>
      <w:tr>
        <w:tc>
          <w:tcPr>
            <w:tcW w:type="dxa" w:w="218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9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w:t>
            </w:r>
          </w:p>
        </w:tc>
        <w:tc>
          <w:tcPr>
            <w:tcW w:type="dxa" w:w="400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w:t>
            </w:r>
          </w:p>
        </w:tc>
      </w:tr>
      <w:tr>
        <w:tc>
          <w:tcPr>
            <w:vMerge w:val="continue"/>
            <w:tcBorders>
              <w:top w:val="single" w:color="CBBF9E" w:sz="4"/>
              <w:left w:val="single" w:color="CBBF9E" w:sz="4"/>
              <w:bottom w:val="single" w:color="CBBF9E" w:sz="4"/>
              <w:right w:val="single" w:color="CBBF9E" w:sz="4"/>
            </w:tcBorders>
          </w:tcP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 (млн. сомов)</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вклада в рост ВВП, п.п.</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 (млн. сомов)</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вклада в рост ВВП, п.п.</w:t>
            </w:r>
          </w:p>
        </w:tc>
      </w:tr>
      <w:tr>
        <w:tc>
          <w:tcPr>
            <w:tcW w:type="dxa" w:w="21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454389,0</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494444,3</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r>
      <w:tr>
        <w:tc>
          <w:tcPr>
            <w:tcW w:type="dxa" w:w="21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62166,4</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13,68</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0,21</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66966,7</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13,54</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w:t>
            </w:r>
          </w:p>
        </w:tc>
      </w:tr>
      <w:tr>
        <w:tc>
          <w:tcPr>
            <w:tcW w:type="dxa" w:w="21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69103,0</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15,21</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0,21</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70533,4</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96,8</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14,27</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-0,49</w:t>
            </w:r>
          </w:p>
        </w:tc>
      </w:tr>
      <w:tr>
        <w:tc>
          <w:tcPr>
            <w:tcW w:type="dxa" w:w="21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39253,2</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8,64</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0,67</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44895,6</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9,08</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0,90</w:t>
            </w:r>
          </w:p>
        </w:tc>
      </w:tr>
      <w:tr>
        <w:tc>
          <w:tcPr>
            <w:tcW w:type="dxa" w:w="21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229132,5</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50,43</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252529,0</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51,07</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w:t>
            </w:r>
          </w:p>
        </w:tc>
      </w:tr>
      <w:tr>
        <w:tc>
          <w:tcPr>
            <w:tcW w:type="dxa" w:w="21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Чистьте налоги на продуты и импорт</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54733,9</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12,04</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59519,5</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12,04</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w:t>
            </w:r>
          </w:p>
        </w:tc>
      </w:tr>
    </w:tbl>
    <w:p>
      <w:pPr>
        <w:spacing w:after="60" w:before="120"/>
        <w:ind w:firstLine="567"/>
        <w:jc w:val="both"/>
      </w:pPr>
      <w:r>
        <w:rPr>
          <w:rFonts w:ascii="Arial" w:cs="Arial" w:eastAsia="Arial" w:hAnsi="Arial"/>
          <w:sz w:val="24"/>
          <w:szCs w:val="24"/>
        </w:rPr>
        <w:t xml:space="preserve">Номинальный объем ВВП прогнозируется в сумме 494,4 млрд. сомов, а реальный темп роста - 102,9%, дефлятор - 105,8%.</w:t>
      </w:r>
    </w:p>
    <w:p>
      <w:pPr>
        <w:spacing w:after="60"/>
        <w:ind w:firstLine="567"/>
        <w:jc w:val="both"/>
      </w:pPr>
      <w:r>
        <w:rPr>
          <w:rFonts w:ascii="Arial" w:cs="Arial" w:eastAsia="Arial" w:hAnsi="Arial"/>
          <w:sz w:val="24"/>
          <w:szCs w:val="24"/>
        </w:rPr>
        <w:t xml:space="preserve">Прогнозируемый экономический рост на уровне 2,9% будет обеспечиваться вкладом в ВВП практически всех секторов экономики, за исключением промышленности. При этом наибольший вклад будет обеспечен со стороны сектора услуг - 1,82 процентного пункта, строительства - 0,90 процентного пункта, сельского хозяйства - 0,3 процентного пункта, суммарный вклад которых составит 3,02 процентных пункта, а вклад промышленности (-0,49 процентного пункта) будет отрицательным.</w:t>
      </w:r>
    </w:p>
    <w:p>
      <w:pPr>
        <w:spacing w:after="60"/>
        <w:ind w:firstLine="567"/>
        <w:jc w:val="both"/>
      </w:pPr>
      <w:r>
        <w:rPr>
          <w:rFonts w:ascii="Arial" w:cs="Arial" w:eastAsia="Arial" w:hAnsi="Arial"/>
          <w:sz w:val="24"/>
          <w:szCs w:val="24"/>
        </w:rPr>
        <w:t xml:space="preserve">В региональном разрезе основная доля производства ВВП в 2017 году будет обеспечиваться за счет функционирования экономики города Бишкек, Чуйской, Иссык-Кульской, Джалал-Абадской областей, с удельным весом 76,81%, суммарный вклад которых в ВВП республики составит 2,26%.</w:t>
      </w:r>
    </w:p>
    <w:p>
      <w:pPr>
        <w:spacing w:after="60"/>
        <w:ind w:firstLine="567"/>
        <w:jc w:val="both"/>
      </w:pPr>
      <w:r>
        <w:rPr>
          <w:rFonts w:ascii="Arial" w:cs="Arial" w:eastAsia="Arial" w:hAnsi="Arial"/>
          <w:sz w:val="24"/>
          <w:szCs w:val="24"/>
        </w:rPr>
        <w:t xml:space="preserve">Оставшаяся часть доли производства ВВП распределилась с наименьшим вкладом на уровне 0,64% между Ошской, Баткенской, Нарынской и Таласской областями и городом Ош.</w:t>
      </w:r>
    </w:p>
    <w:p>
      <w:pPr>
        <w:spacing w:after="60" w:before="120"/>
        <w:ind w:firstLine="567"/>
        <w:jc w:val="right"/>
      </w:pPr>
      <w:r>
        <w:rPr>
          <w:rFonts w:ascii="Arial" w:cs="Arial" w:eastAsia="Arial" w:hAnsi="Arial"/>
          <w:sz w:val="24"/>
          <w:szCs w:val="24"/>
        </w:rPr>
        <w:t xml:space="preserve">Таблица 11</w:t>
      </w:r>
    </w:p>
    <w:p>
      <w:pPr>
        <w:spacing w:after="200" w:before="200"/>
        <w:jc w:val="center"/>
      </w:pPr>
      <w:r>
        <w:rPr>
          <w:rFonts w:ascii="Arial" w:cs="Arial" w:eastAsia="Arial" w:hAnsi="Arial"/>
          <w:b/>
          <w:bCs/>
          <w:sz w:val="32"/>
          <w:szCs w:val="32"/>
        </w:rPr>
        <w:t xml:space="preserve">Вклады регионов в производство ВВП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84"/>
        <w:gridCol w:w="1347"/>
        <w:gridCol w:w="1347"/>
        <w:gridCol w:w="1325"/>
        <w:gridCol w:w="1325"/>
        <w:gridCol w:w="1325"/>
        <w:gridCol w:w="1325"/>
      </w:tblGrid>
      <w:tr>
        <w:tc>
          <w:tcPr>
            <w:tcW w:type="dxa" w:w="218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269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ожид.</w:t>
            </w:r>
          </w:p>
        </w:tc>
        <w:tc>
          <w:tcPr>
            <w:tcW w:type="dxa" w:w="530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прогноз</w:t>
            </w:r>
          </w:p>
        </w:tc>
      </w:tr>
      <w:tr>
        <w:tc>
          <w:tcPr>
            <w:vMerge w:val="continue"/>
            <w:tcBorders>
              <w:top w:val="single" w:color="CBBF9E" w:sz="4"/>
              <w:left w:val="single" w:color="CBBF9E" w:sz="4"/>
              <w:bottom w:val="single" w:color="CBBF9E" w:sz="4"/>
              <w:right w:val="single" w:color="CBBF9E" w:sz="4"/>
            </w:tcBorders>
          </w:tcP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Вклад в рост ВВП, %</w:t>
            </w:r>
          </w:p>
        </w:tc>
      </w:tr>
      <w:tr>
        <w:tc>
          <w:tcPr>
            <w:tcW w:type="dxa" w:w="21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(республика)</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454389,0</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494444,3</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r>
      <w:tr>
        <w:tc>
          <w:tcPr>
            <w:tcW w:type="dxa" w:w="21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18369,4</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19922,2</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4,03</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w:t>
            </w:r>
          </w:p>
        </w:tc>
      </w:tr>
      <w:tr>
        <w:tc>
          <w:tcPr>
            <w:tcW w:type="dxa" w:w="21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51680,0</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56426,7</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11,41</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0,38</w:t>
            </w:r>
          </w:p>
        </w:tc>
      </w:tr>
      <w:tr>
        <w:tc>
          <w:tcPr>
            <w:tcW w:type="dxa" w:w="21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55026,9</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55842,5</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96,5</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11,29</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-0,42</w:t>
            </w:r>
          </w:p>
        </w:tc>
      </w:tr>
      <w:tr>
        <w:tc>
          <w:tcPr>
            <w:tcW w:type="dxa" w:w="21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12961,3</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14187,6</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w:t>
            </w:r>
          </w:p>
        </w:tc>
      </w:tr>
      <w:tr>
        <w:tc>
          <w:tcPr>
            <w:tcW w:type="dxa" w:w="21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Отекая область</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34238,9</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37368,3</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7,57</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w:t>
            </w:r>
          </w:p>
        </w:tc>
      </w:tr>
      <w:tr>
        <w:tc>
          <w:tcPr>
            <w:tcW w:type="dxa" w:w="21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14643,0</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15859,9</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w:t>
            </w:r>
          </w:p>
        </w:tc>
      </w:tr>
      <w:tr>
        <w:tc>
          <w:tcPr>
            <w:tcW w:type="dxa" w:w="21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70964,4</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77631,0</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15,70</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0,53</w:t>
            </w:r>
          </w:p>
        </w:tc>
      </w:tr>
      <w:tr>
        <w:tc>
          <w:tcPr>
            <w:tcW w:type="dxa" w:w="21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171413</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189890,3</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38,40</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w:t>
            </w:r>
          </w:p>
        </w:tc>
      </w:tr>
      <w:tr>
        <w:tc>
          <w:tcPr>
            <w:tcW w:type="dxa" w:w="21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25091,9</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27315,7</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w:t>
            </w:r>
          </w:p>
        </w:tc>
      </w:tr>
    </w:tbl>
    <w:p>
      <w:pPr>
        <w:spacing w:after="60" w:before="120"/>
        <w:ind w:firstLine="567"/>
        <w:jc w:val="both"/>
      </w:pPr>
      <w:r>
        <w:rPr>
          <w:rFonts w:ascii="Arial" w:cs="Arial" w:eastAsia="Arial" w:hAnsi="Arial"/>
          <w:sz w:val="24"/>
          <w:szCs w:val="24"/>
        </w:rPr>
        <w:t xml:space="preserve">Для закрепления положительной динамики развития макроэкономических показателей будет продолжена работа по таким направлениям экономической политики, как стимулирование экономического роста через равномерное распределение налогового бремени на экономику, привлечение внешних и внутренних инвестиций в инфраструктуру, улучшение бизнес-среды и инвестиционного климата, интегрирование экономики в региональную экономическую систему, а также реализация структурных реформ для развития ключевых отраслей экономики (энергетика, горная добыча, переработка сельхозпродукции, транспорт, финансовый сектор и другое); обеспечение продовольственной безопасности через повышение объема внутреннего производства и производительности в сельском хозяйстве, а также создание государственных резервов в достаточном объеме; эффективное управление собственными активами; поддержание либерального торгового режима, установление новых и развитие традиционных двусторонних и многосторонних взаимовыгодных экономических связей, выход на новые рынки сбыта отечественной продукции, увеличение экспорта продукции и постепенного уменьшения отрицательного сальдо торгового баланса.</w:t>
      </w:r>
    </w:p>
    <w:p>
      <w:pPr>
        <w:spacing w:after="60" w:before="200"/>
        <w:ind w:firstLine="567"/>
        <w:jc w:val="left"/>
      </w:pPr>
      <w:r>
        <w:rPr>
          <w:rFonts w:ascii="Arial" w:cs="Arial" w:eastAsia="Arial" w:hAnsi="Arial"/>
          <w:b/>
          <w:bCs/>
          <w:sz w:val="24"/>
          <w:szCs w:val="24"/>
        </w:rPr>
        <w:t xml:space="preserve">5.2. Денежно-кредитная политика</w:t>
      </w:r>
    </w:p>
    <w:p>
      <w:pPr>
        <w:spacing w:after="60"/>
        <w:ind w:firstLine="567"/>
        <w:jc w:val="both"/>
      </w:pPr>
      <w:r>
        <w:rPr>
          <w:rFonts w:ascii="Arial" w:cs="Arial" w:eastAsia="Arial" w:hAnsi="Arial"/>
          <w:sz w:val="24"/>
          <w:szCs w:val="24"/>
        </w:rPr>
        <w:t xml:space="preserve">Главной целью макроэкономической политики на среднесрочный период является сохранение макроэкономической стабильности посредством достижения и поддержания стабильности цен, которая, в свою очередь, является фундаментальным фактором, определяющим возможности экономического роста в Кыргызской Республике, за счет проведения соответствующей денежно-кредитной политики.</w:t>
      </w:r>
    </w:p>
    <w:p>
      <w:pPr>
        <w:spacing w:after="60"/>
        <w:ind w:firstLine="567"/>
        <w:jc w:val="both"/>
      </w:pPr>
      <w:r>
        <w:rPr>
          <w:rFonts w:ascii="Arial" w:cs="Arial" w:eastAsia="Arial" w:hAnsi="Arial"/>
          <w:sz w:val="24"/>
          <w:szCs w:val="24"/>
        </w:rPr>
        <w:t xml:space="preserve">Для этого Национальный банк будет проводить денежно-кредитную политику в рамках Основных направлений денежно-кредитной политики на среднесрочный период (постановление Правления Национального банка Кыргызской Республики от 17 декабря 2014 года № 55/3), где основной целью будет сохранение умеренных темпов инфляции, как одного из основных условий устойчивого экономического роста в среднесрочной перспективе. Количественным ориентиром денежно-кредитной политики будет удержание уровня инфляции на уровне однозначного показателя, определенного НСУР.</w:t>
      </w:r>
    </w:p>
    <w:p>
      <w:pPr>
        <w:spacing w:after="60"/>
        <w:ind w:firstLine="567"/>
        <w:jc w:val="both"/>
      </w:pPr>
      <w:r>
        <w:rPr>
          <w:rFonts w:ascii="Arial" w:cs="Arial" w:eastAsia="Arial" w:hAnsi="Arial"/>
          <w:sz w:val="24"/>
          <w:szCs w:val="24"/>
        </w:rPr>
        <w:t xml:space="preserve">В среднесрочной перспективе основные инфляционные риски, в том числе связанные с членством Кыргызской Республики и новыми условиями ЕАЭС, могут оказать повышающее давление на динамику потребительских цен.</w:t>
      </w:r>
    </w:p>
    <w:p>
      <w:pPr>
        <w:spacing w:after="60"/>
        <w:ind w:firstLine="567"/>
        <w:jc w:val="both"/>
      </w:pPr>
      <w:r>
        <w:rPr>
          <w:rFonts w:ascii="Arial" w:cs="Arial" w:eastAsia="Arial" w:hAnsi="Arial"/>
          <w:sz w:val="24"/>
          <w:szCs w:val="24"/>
        </w:rPr>
        <w:t xml:space="preserve">Национальный банк продолжит работу по развитию основы денежно-кредитной политики, использующей учетную ставку Национального банка в качестве промежуточного ориентира политики и модернизации используемых инструментов денежно-кредитной политики. Это позволит в дальнейшем усилить работу процентного трансмиссионного канала и воздействие учетной ставки Национального банка на рыночные ставки.</w:t>
      </w:r>
    </w:p>
    <w:p>
      <w:pPr>
        <w:spacing w:after="60"/>
        <w:ind w:firstLine="567"/>
        <w:jc w:val="both"/>
      </w:pPr>
      <w:r>
        <w:rPr>
          <w:rFonts w:ascii="Arial" w:cs="Arial" w:eastAsia="Arial" w:hAnsi="Arial"/>
          <w:sz w:val="24"/>
          <w:szCs w:val="24"/>
        </w:rPr>
        <w:t xml:space="preserve">Национальный банк продолжит реализацию ключевых задач, определенных НСУР, в части развития конкурентной среды в финансовом секторе, внедрения механизмов по снижению процентных ставок по кредитам, выдаваемым коммерческими банками, что создаст условия для повышения уровня финансового посредничества финансово-кредитных учреждений.</w:t>
      </w:r>
    </w:p>
    <w:p>
      <w:pPr>
        <w:spacing w:after="60"/>
        <w:ind w:firstLine="567"/>
        <w:jc w:val="both"/>
      </w:pPr>
      <w:r>
        <w:rPr>
          <w:rFonts w:ascii="Arial" w:cs="Arial" w:eastAsia="Arial" w:hAnsi="Arial"/>
          <w:sz w:val="24"/>
          <w:szCs w:val="24"/>
        </w:rPr>
        <w:t xml:space="preserve">С целью усиления передаточного механизма денежно-кредитной политики Национальным банком будет продолжено осуществление мероприятий по увеличению доли безналичных расчетов. В этом направлении Национальный банк будет осуществлять дальнейшую координацию и контроль за реализацией мероприятий Государственной программы по увеличению доли безналичных платежей и расчетов в Кыргызской Республике на 2012-2017 годы (постановление Правительства Кыргызской Республики и Национального банка Кыргызской Республики от 14 мая 2012 года № 289/5/1). Приоритетными направлениями являются развитие рынка розничных платежей, увеличение степени оказания платежных услуг на территории Кыргызской Республики.</w:t>
      </w:r>
    </w:p>
    <w:p>
      <w:pPr>
        <w:spacing w:after="60"/>
        <w:ind w:firstLine="567"/>
        <w:jc w:val="both"/>
      </w:pPr>
      <w:r>
        <w:rPr>
          <w:rFonts w:ascii="Arial" w:cs="Arial" w:eastAsia="Arial" w:hAnsi="Arial"/>
          <w:sz w:val="24"/>
          <w:szCs w:val="24"/>
        </w:rPr>
        <w:t xml:space="preserve">Валютная политика по-прежнему будет проводиться в соответствии с выбранным в стране режимом плавающего обменного курса. Проведение интервенций будет осуществляться только в целях смягчения резких колебаний обменного курса. Управление международными резервами будет осуществляться с учетом соблюдения основных принципов поддержания ликвидности и обеспечения безопасности резервных активов. В целях пополнения объема международных резервов с учетом ситуации на мировых финансовых рынках будет продолжена работа по проведению операций по покупке золота на внутреннем рынке страны за национальную валюту.</w:t>
      </w:r>
    </w:p>
    <w:p>
      <w:pPr>
        <w:spacing w:after="60" w:before="200"/>
        <w:ind w:firstLine="567"/>
        <w:jc w:val="left"/>
      </w:pPr>
      <w:r>
        <w:rPr>
          <w:rFonts w:ascii="Arial" w:cs="Arial" w:eastAsia="Arial" w:hAnsi="Arial"/>
          <w:b/>
          <w:bCs/>
          <w:sz w:val="24"/>
          <w:szCs w:val="24"/>
        </w:rPr>
        <w:t xml:space="preserve">5.3. Налоговая политика</w:t>
      </w:r>
    </w:p>
    <w:p>
      <w:pPr>
        <w:spacing w:after="60"/>
        <w:ind w:firstLine="567"/>
        <w:jc w:val="both"/>
      </w:pPr>
      <w:r>
        <w:rPr>
          <w:rFonts w:ascii="Arial" w:cs="Arial" w:eastAsia="Arial" w:hAnsi="Arial"/>
          <w:sz w:val="24"/>
          <w:szCs w:val="24"/>
        </w:rPr>
        <w:t xml:space="preserve">В целом фискальная политика в средне- и долгосрочной перспективе будет направлена на стабилизацию экономики и обеспечение опережающего темпа роста доходной части государственного бюджета по сравнению с расходной таким образом, чтобы можно было достичь к концу периода планомерного преодоления дефицита бюджета.</w:t>
      </w:r>
    </w:p>
    <w:p>
      <w:pPr>
        <w:spacing w:after="60"/>
        <w:ind w:firstLine="567"/>
        <w:jc w:val="both"/>
      </w:pPr>
      <w:r>
        <w:rPr>
          <w:rFonts w:ascii="Arial" w:cs="Arial" w:eastAsia="Arial" w:hAnsi="Arial"/>
          <w:sz w:val="24"/>
          <w:szCs w:val="24"/>
        </w:rPr>
        <w:t xml:space="preserve">Сохранится стимулирующая роль фискальной политики, направленная на диверсификацию, технологическое обновление и модернизацию производства, а также повышение конкурентоспособности экономики, в том числе в рамках участия Кыргызской Республики в ЕАЭС.</w:t>
      </w:r>
    </w:p>
    <w:p>
      <w:pPr>
        <w:spacing w:after="60"/>
        <w:ind w:firstLine="567"/>
        <w:jc w:val="both"/>
      </w:pPr>
      <w:r>
        <w:rPr>
          <w:rFonts w:ascii="Arial" w:cs="Arial" w:eastAsia="Arial" w:hAnsi="Arial"/>
          <w:sz w:val="24"/>
          <w:szCs w:val="24"/>
        </w:rPr>
        <w:t xml:space="preserve">Для решения поставленных задач предполагается реализация следующих мер:</w:t>
      </w:r>
    </w:p>
    <w:p>
      <w:pPr>
        <w:spacing w:after="60"/>
        <w:ind w:firstLine="567"/>
        <w:jc w:val="both"/>
      </w:pPr>
      <w:r>
        <w:rPr>
          <w:rFonts w:ascii="Arial" w:cs="Arial" w:eastAsia="Arial" w:hAnsi="Arial"/>
          <w:sz w:val="24"/>
          <w:szCs w:val="24"/>
        </w:rPr>
        <w:t xml:space="preserve">- предоставление полномочий органам местного самоуправления по дифференцированному применению действующих инструментов администрирования местных налогов и налогов на основе патентов, включая установление дополнительных коэффициентов по местным налогам и неналоговым платежам и увеличение диапазонов действующих ставок;</w:t>
      </w:r>
    </w:p>
    <w:p>
      <w:pPr>
        <w:spacing w:after="60"/>
        <w:ind w:firstLine="567"/>
        <w:jc w:val="both"/>
      </w:pPr>
      <w:r>
        <w:rPr>
          <w:rFonts w:ascii="Arial" w:cs="Arial" w:eastAsia="Arial" w:hAnsi="Arial"/>
          <w:sz w:val="24"/>
          <w:szCs w:val="24"/>
        </w:rPr>
        <w:t xml:space="preserve">- развитие в рамках существующей судебной системы нового института - административного (налогового) суда по рассмотрению правоотношений, складывающихся в процессе администрирования налогов, таможенных и неналоговых платежей и страховых взносов;</w:t>
      </w:r>
    </w:p>
    <w:p>
      <w:pPr>
        <w:spacing w:after="60"/>
        <w:ind w:firstLine="567"/>
        <w:jc w:val="both"/>
      </w:pPr>
      <w:r>
        <w:rPr>
          <w:rFonts w:ascii="Arial" w:cs="Arial" w:eastAsia="Arial" w:hAnsi="Arial"/>
          <w:sz w:val="24"/>
          <w:szCs w:val="24"/>
        </w:rPr>
        <w:t xml:space="preserve">- пересмотр существующих ставок акциза с целью их поэтапного приближения к ставкам акциза на алкогольную и табачную продукцию, установленным в государствах-членах ЕАЭС;</w:t>
      </w:r>
    </w:p>
    <w:p>
      <w:pPr>
        <w:spacing w:after="60"/>
        <w:ind w:firstLine="567"/>
        <w:jc w:val="both"/>
      </w:pPr>
      <w:r>
        <w:rPr>
          <w:rFonts w:ascii="Arial" w:cs="Arial" w:eastAsia="Arial" w:hAnsi="Arial"/>
          <w:sz w:val="24"/>
          <w:szCs w:val="24"/>
        </w:rPr>
        <w:t xml:space="preserve">- внедрение элементов налогообложения роскоши путем повышения ставок на отдельные виды имущества (движимое и недвижимое) или применения повышающих коэффициентов органами местного самоуправления;</w:t>
      </w:r>
    </w:p>
    <w:p>
      <w:pPr>
        <w:spacing w:after="60"/>
        <w:ind w:firstLine="567"/>
        <w:jc w:val="both"/>
      </w:pPr>
      <w:r>
        <w:rPr>
          <w:rFonts w:ascii="Arial" w:cs="Arial" w:eastAsia="Arial" w:hAnsi="Arial"/>
          <w:sz w:val="24"/>
          <w:szCs w:val="24"/>
        </w:rPr>
        <w:t xml:space="preserve">- обеспечение стабильности налогообложения для инвесторов;</w:t>
      </w:r>
    </w:p>
    <w:p>
      <w:pPr>
        <w:spacing w:after="60"/>
        <w:ind w:firstLine="567"/>
        <w:jc w:val="both"/>
      </w:pPr>
      <w:r>
        <w:rPr>
          <w:rFonts w:ascii="Arial" w:cs="Arial" w:eastAsia="Arial" w:hAnsi="Arial"/>
          <w:sz w:val="24"/>
          <w:szCs w:val="24"/>
        </w:rPr>
        <w:t xml:space="preserve">- пересмотр налогового режима на основе добровольного патента путем:</w:t>
      </w:r>
    </w:p>
    <w:p>
      <w:pPr>
        <w:spacing w:after="60"/>
        <w:ind w:firstLine="567"/>
        <w:jc w:val="both"/>
      </w:pPr>
      <w:r>
        <w:rPr>
          <w:rFonts w:ascii="Arial" w:cs="Arial" w:eastAsia="Arial" w:hAnsi="Arial"/>
          <w:sz w:val="24"/>
          <w:szCs w:val="24"/>
        </w:rPr>
        <w:t xml:space="preserve">- сокращения количества видов деятельности;</w:t>
      </w:r>
    </w:p>
    <w:p>
      <w:pPr>
        <w:spacing w:after="60"/>
        <w:ind w:firstLine="567"/>
        <w:jc w:val="both"/>
      </w:pPr>
      <w:r>
        <w:rPr>
          <w:rFonts w:ascii="Arial" w:cs="Arial" w:eastAsia="Arial" w:hAnsi="Arial"/>
          <w:sz w:val="24"/>
          <w:szCs w:val="24"/>
        </w:rPr>
        <w:t xml:space="preserve">- реализации принципа применения патента только к деятельности, в которой основой получения дохода является исключительно индивидуальный труд;</w:t>
      </w:r>
    </w:p>
    <w:p>
      <w:pPr>
        <w:spacing w:after="60"/>
        <w:ind w:firstLine="567"/>
        <w:jc w:val="both"/>
      </w:pPr>
      <w:r>
        <w:rPr>
          <w:rFonts w:ascii="Arial" w:cs="Arial" w:eastAsia="Arial" w:hAnsi="Arial"/>
          <w:sz w:val="24"/>
          <w:szCs w:val="24"/>
        </w:rPr>
        <w:t xml:space="preserve">- увеличения базовых ставок;</w:t>
      </w:r>
    </w:p>
    <w:p>
      <w:pPr>
        <w:spacing w:after="60"/>
        <w:ind w:firstLine="567"/>
        <w:jc w:val="both"/>
      </w:pPr>
      <w:r>
        <w:rPr>
          <w:rFonts w:ascii="Arial" w:cs="Arial" w:eastAsia="Arial" w:hAnsi="Arial"/>
          <w:sz w:val="24"/>
          <w:szCs w:val="24"/>
        </w:rPr>
        <w:t xml:space="preserve">- создания механизмов и инструментов для стимулирования перехода на налоговые режимы более высокого уровня.</w:t>
      </w:r>
    </w:p>
    <w:p>
      <w:pPr>
        <w:spacing w:after="60"/>
        <w:ind w:firstLine="567"/>
        <w:jc w:val="both"/>
      </w:pPr>
      <w:r>
        <w:rPr>
          <w:rFonts w:ascii="Arial" w:cs="Arial" w:eastAsia="Arial" w:hAnsi="Arial"/>
          <w:sz w:val="24"/>
          <w:szCs w:val="24"/>
        </w:rPr>
        <w:t xml:space="preserve">Механизмами и инструментами налогообложения будут:</w:t>
      </w:r>
    </w:p>
    <w:p>
      <w:pPr>
        <w:spacing w:after="60"/>
        <w:ind w:firstLine="567"/>
        <w:jc w:val="both"/>
      </w:pPr>
      <w:r>
        <w:rPr>
          <w:rFonts w:ascii="Arial" w:cs="Arial" w:eastAsia="Arial" w:hAnsi="Arial"/>
          <w:sz w:val="24"/>
          <w:szCs w:val="24"/>
        </w:rPr>
        <w:t xml:space="preserve">- сближение и гармонизация подходов к налоговому администрированию в рамка ЕАЭС с учетом максимально возможного сохранения имеющихся у Кыргызской Республики преимуществ;</w:t>
      </w:r>
    </w:p>
    <w:p>
      <w:pPr>
        <w:spacing w:after="60"/>
        <w:ind w:firstLine="567"/>
        <w:jc w:val="both"/>
      </w:pPr>
      <w:r>
        <w:rPr>
          <w:rFonts w:ascii="Arial" w:cs="Arial" w:eastAsia="Arial" w:hAnsi="Arial"/>
          <w:sz w:val="24"/>
          <w:szCs w:val="24"/>
        </w:rPr>
        <w:t xml:space="preserve">- создание современной системы передачи информации между министерствами и административными ведомствами;</w:t>
      </w:r>
    </w:p>
    <w:p>
      <w:pPr>
        <w:spacing w:after="60"/>
        <w:ind w:firstLine="567"/>
        <w:jc w:val="both"/>
      </w:pPr>
      <w:r>
        <w:rPr>
          <w:rFonts w:ascii="Arial" w:cs="Arial" w:eastAsia="Arial" w:hAnsi="Arial"/>
          <w:sz w:val="24"/>
          <w:szCs w:val="24"/>
        </w:rPr>
        <w:t xml:space="preserve">- совершенствование косвенных методов определения доходов в целях налогообложения;</w:t>
      </w:r>
    </w:p>
    <w:p>
      <w:pPr>
        <w:spacing w:after="60"/>
        <w:ind w:firstLine="567"/>
        <w:jc w:val="both"/>
      </w:pPr>
      <w:r>
        <w:rPr>
          <w:rFonts w:ascii="Arial" w:cs="Arial" w:eastAsia="Arial" w:hAnsi="Arial"/>
          <w:sz w:val="24"/>
          <w:szCs w:val="24"/>
        </w:rPr>
        <w:t xml:space="preserve">- разработка методики оценки обоснованности предоставления преференций по обязательным платежам с использованием практического опыта зарубежных стран;</w:t>
      </w:r>
    </w:p>
    <w:p>
      <w:pPr>
        <w:spacing w:after="60"/>
        <w:ind w:firstLine="567"/>
        <w:jc w:val="both"/>
      </w:pPr>
      <w:r>
        <w:rPr>
          <w:rFonts w:ascii="Arial" w:cs="Arial" w:eastAsia="Arial" w:hAnsi="Arial"/>
          <w:sz w:val="24"/>
          <w:szCs w:val="24"/>
        </w:rPr>
        <w:t xml:space="preserve">- максимальное сокращение налоговых преференций и создание системы мониторинга их эффективности путем установления обязанности льготных категорий налогоплательщиков предоставлять на постоянной основе налоговую отчетность;</w:t>
      </w:r>
    </w:p>
    <w:p>
      <w:pPr>
        <w:spacing w:after="60"/>
        <w:ind w:firstLine="567"/>
        <w:jc w:val="both"/>
      </w:pPr>
      <w:r>
        <w:rPr>
          <w:rFonts w:ascii="Arial" w:cs="Arial" w:eastAsia="Arial" w:hAnsi="Arial"/>
          <w:sz w:val="24"/>
          <w:szCs w:val="24"/>
        </w:rPr>
        <w:t xml:space="preserve">- использование новых финансовых инструментов для продвижения высокоэффективных "зеленых" технологий, основанных на внедрении "зеленых" налогов.</w:t>
      </w:r>
    </w:p>
    <w:p>
      <w:pPr>
        <w:spacing w:after="60" w:before="200"/>
        <w:ind w:firstLine="567"/>
        <w:jc w:val="left"/>
      </w:pPr>
      <w:r>
        <w:rPr>
          <w:rFonts w:ascii="Arial" w:cs="Arial" w:eastAsia="Arial" w:hAnsi="Arial"/>
          <w:b/>
          <w:bCs/>
          <w:sz w:val="24"/>
          <w:szCs w:val="24"/>
        </w:rPr>
        <w:t xml:space="preserve">5.4. Бюджетная политика</w:t>
      </w:r>
    </w:p>
    <w:p>
      <w:pPr>
        <w:spacing w:after="60"/>
        <w:ind w:firstLine="567"/>
        <w:jc w:val="both"/>
      </w:pPr>
      <w:r>
        <w:rPr>
          <w:rFonts w:ascii="Arial" w:cs="Arial" w:eastAsia="Arial" w:hAnsi="Arial"/>
          <w:sz w:val="24"/>
          <w:szCs w:val="24"/>
        </w:rPr>
        <w:t xml:space="preserve">Основной целью бюджетной политики является достижение бюджетной устойчивости, построение эффективной и прозрачной бюджетной системы, повышение эффективности использования государственных бюджетных средств, ее ориентация на стимулирование экономического роста, результативность бюджетных расходов и повышение качества предоставляемых услуг, обеспечение потребностей в финансировании в рамках перехода к устойчивому развитию, с учетом формирования оптимизированной структуры государственного долга.</w:t>
      </w:r>
    </w:p>
    <w:p>
      <w:pPr>
        <w:spacing w:after="60"/>
        <w:ind w:firstLine="567"/>
        <w:jc w:val="both"/>
      </w:pPr>
      <w:r>
        <w:rPr>
          <w:rFonts w:ascii="Arial" w:cs="Arial" w:eastAsia="Arial" w:hAnsi="Arial"/>
          <w:sz w:val="24"/>
          <w:szCs w:val="24"/>
        </w:rPr>
        <w:t xml:space="preserve">Бюджетная политика будет сфокусирована на следующих приоритетных направлениях: (1) создание новых механизмов концентрации бюджетных ресурсов по важнейшим направлениям экономического и социального развития; (2) совершенствование системы оказания социальных услуг за счет оптимизации бюджетной политики в области государственного пенсионного и обязательного медицинского страхования, соблюдения их прозрачности; (3) ускорение процесса финансовой децентрализации местных бюджетов с расширением права самостоятельного управления финансовыми ресурсами; (4) улучшение системы управления государственным долгом, сокращение его уровня определением предельного размера внешнего заимствования; (5) ужесточение бюджетной политики путем обоснованного расходования государственных расходов.</w:t>
      </w:r>
    </w:p>
    <w:p>
      <w:pPr>
        <w:spacing w:after="60"/>
        <w:ind w:firstLine="567"/>
        <w:jc w:val="both"/>
      </w:pPr>
      <w:r>
        <w:rPr>
          <w:rFonts w:ascii="Arial" w:cs="Arial" w:eastAsia="Arial" w:hAnsi="Arial"/>
          <w:sz w:val="24"/>
          <w:szCs w:val="24"/>
        </w:rPr>
        <w:t xml:space="preserve">Для реализации указанных направлений будут приняты следующие меры:</w:t>
      </w:r>
    </w:p>
    <w:p>
      <w:pPr>
        <w:spacing w:after="60"/>
        <w:ind w:firstLine="567"/>
        <w:jc w:val="both"/>
      </w:pPr>
      <w:r>
        <w:rPr>
          <w:rFonts w:ascii="Arial" w:cs="Arial" w:eastAsia="Arial" w:hAnsi="Arial"/>
          <w:sz w:val="24"/>
          <w:szCs w:val="24"/>
        </w:rPr>
        <w:t xml:space="preserve">- совершенствование процесса планирования бюджета; переход от социально ориентированного бюджета к бюджету развития; сокращение государственных расходов и сдерживание принятия новых расходных инициатив, не имеющих соответствующего финансового подкрепления;</w:t>
      </w:r>
    </w:p>
    <w:p>
      <w:pPr>
        <w:spacing w:after="60"/>
        <w:ind w:firstLine="567"/>
        <w:jc w:val="both"/>
      </w:pPr>
      <w:r>
        <w:rPr>
          <w:rFonts w:ascii="Arial" w:cs="Arial" w:eastAsia="Arial" w:hAnsi="Arial"/>
          <w:sz w:val="24"/>
          <w:szCs w:val="24"/>
        </w:rPr>
        <w:t xml:space="preserve">- усиление бюджетной дисциплины, обеспечение сбалансированности бюджета, основанного на принципе "жить по средствам", усиление контроля за эффективностью государственных расходов;</w:t>
      </w:r>
    </w:p>
    <w:p>
      <w:pPr>
        <w:spacing w:after="60"/>
        <w:ind w:firstLine="567"/>
        <w:jc w:val="both"/>
      </w:pPr>
      <w:r>
        <w:rPr>
          <w:rFonts w:ascii="Arial" w:cs="Arial" w:eastAsia="Arial" w:hAnsi="Arial"/>
          <w:sz w:val="24"/>
          <w:szCs w:val="24"/>
        </w:rPr>
        <w:t xml:space="preserve">- направление бюджетных инвестиций в первоочередном порядке на завершение ранее начатых внутренних инвестиционных проектов с учетом оценки эффективности реализации инвестиционного проекта;</w:t>
      </w:r>
    </w:p>
    <w:p>
      <w:pPr>
        <w:spacing w:after="60"/>
        <w:ind w:firstLine="567"/>
        <w:jc w:val="both"/>
      </w:pPr>
      <w:r>
        <w:rPr>
          <w:rFonts w:ascii="Arial" w:cs="Arial" w:eastAsia="Arial" w:hAnsi="Arial"/>
          <w:sz w:val="24"/>
          <w:szCs w:val="24"/>
        </w:rPr>
        <w:t xml:space="preserve">- определение финансовых и нефинансовых индикаторов эффективности использования бюджетных средств;</w:t>
      </w:r>
    </w:p>
    <w:p>
      <w:pPr>
        <w:spacing w:after="60"/>
        <w:ind w:firstLine="567"/>
        <w:jc w:val="both"/>
      </w:pPr>
      <w:r>
        <w:rPr>
          <w:rFonts w:ascii="Arial" w:cs="Arial" w:eastAsia="Arial" w:hAnsi="Arial"/>
          <w:sz w:val="24"/>
          <w:szCs w:val="24"/>
        </w:rPr>
        <w:t xml:space="preserve">- повышение заинтересованности органов местного самоуправления в увеличении доходного потенциала и улучшении эффективности расходов, повышение роли и ответственности органов местного самоуправления за исполнение средств местных бюджетов, поэтапное снижение дотационности местных бюджетов;</w:t>
      </w:r>
    </w:p>
    <w:p>
      <w:pPr>
        <w:spacing w:after="60"/>
        <w:ind w:firstLine="567"/>
        <w:jc w:val="both"/>
      </w:pPr>
      <w:r>
        <w:rPr>
          <w:rFonts w:ascii="Arial" w:cs="Arial" w:eastAsia="Arial" w:hAnsi="Arial"/>
          <w:sz w:val="24"/>
          <w:szCs w:val="24"/>
        </w:rPr>
        <w:t xml:space="preserve">- осуществление электронных торгов при проведении государственных закупок и интегрирование системы электронных закупок в бюджетный процесс;</w:t>
      </w:r>
    </w:p>
    <w:p>
      <w:pPr>
        <w:spacing w:after="60"/>
        <w:ind w:firstLine="567"/>
        <w:jc w:val="both"/>
      </w:pPr>
      <w:r>
        <w:rPr>
          <w:rFonts w:ascii="Arial" w:cs="Arial" w:eastAsia="Arial" w:hAnsi="Arial"/>
          <w:sz w:val="24"/>
          <w:szCs w:val="24"/>
        </w:rPr>
        <w:t xml:space="preserve">- обеспечение эффективного управления государственным долгом;</w:t>
      </w:r>
    </w:p>
    <w:p>
      <w:pPr>
        <w:spacing w:after="60"/>
        <w:ind w:firstLine="567"/>
        <w:jc w:val="both"/>
      </w:pPr>
      <w:r>
        <w:rPr>
          <w:rFonts w:ascii="Arial" w:cs="Arial" w:eastAsia="Arial" w:hAnsi="Arial"/>
          <w:sz w:val="24"/>
          <w:szCs w:val="24"/>
        </w:rPr>
        <w:t xml:space="preserve">- выпуск и размещение государственных ценных бумаг через рыночные механизмы ценообразования, в частности через аукционы;</w:t>
      </w:r>
    </w:p>
    <w:p>
      <w:pPr>
        <w:spacing w:after="60"/>
        <w:ind w:firstLine="567"/>
        <w:jc w:val="both"/>
      </w:pPr>
      <w:r>
        <w:rPr>
          <w:rFonts w:ascii="Arial" w:cs="Arial" w:eastAsia="Arial" w:hAnsi="Arial"/>
          <w:sz w:val="24"/>
          <w:szCs w:val="24"/>
        </w:rPr>
        <w:t xml:space="preserve">- обслуживание государственного долга своевременно и в полном объеме.</w:t>
      </w:r>
    </w:p>
    <w:p>
      <w:pPr>
        <w:spacing w:after="60" w:before="200"/>
        <w:ind w:firstLine="567"/>
        <w:jc w:val="left"/>
      </w:pPr>
      <w:r>
        <w:rPr>
          <w:rFonts w:ascii="Arial" w:cs="Arial" w:eastAsia="Arial" w:hAnsi="Arial"/>
          <w:b/>
          <w:bCs/>
          <w:sz w:val="24"/>
          <w:szCs w:val="24"/>
        </w:rPr>
        <w:t xml:space="preserve">5.5. Бюджет развития</w:t>
      </w:r>
    </w:p>
    <w:p>
      <w:pPr>
        <w:spacing w:after="60"/>
        <w:ind w:firstLine="567"/>
        <w:jc w:val="both"/>
      </w:pPr>
      <w:r>
        <w:rPr>
          <w:rFonts w:ascii="Arial" w:cs="Arial" w:eastAsia="Arial" w:hAnsi="Arial"/>
          <w:sz w:val="24"/>
          <w:szCs w:val="24"/>
        </w:rPr>
        <w:t xml:space="preserve">Средства бюджета развития используется для развития государственных приоритетных экономических и социально значимых объектов.</w:t>
      </w:r>
    </w:p>
    <w:p>
      <w:pPr>
        <w:spacing w:after="60"/>
        <w:ind w:firstLine="567"/>
        <w:jc w:val="both"/>
      </w:pPr>
      <w:r>
        <w:rPr>
          <w:rFonts w:ascii="Arial" w:cs="Arial" w:eastAsia="Arial" w:hAnsi="Arial"/>
          <w:sz w:val="24"/>
          <w:szCs w:val="24"/>
        </w:rPr>
        <w:t xml:space="preserve">За последние годы большая часть финансовых средств за счет капитальных вложений направлялась в первоочередном порядке на строительство и реконструкцию социальных объектов (объекты образования, здравоохранения), восстановление аварийных объектов. Рост объемов строительства и реконструкции в целом показывает невысокую эффективность.</w:t>
      </w:r>
    </w:p>
    <w:p>
      <w:pPr>
        <w:spacing w:after="60"/>
        <w:ind w:firstLine="567"/>
        <w:jc w:val="both"/>
      </w:pPr>
      <w:r>
        <w:rPr>
          <w:rFonts w:ascii="Arial" w:cs="Arial" w:eastAsia="Arial" w:hAnsi="Arial"/>
          <w:sz w:val="24"/>
          <w:szCs w:val="24"/>
        </w:rPr>
        <w:t xml:space="preserve">В этой связи в 2017 году государственные капитальные вложения будут направляться на финансирование объектов строительства с высокой строительной готовностью, а также будет минимизировано новое строительство в целях уменьшения объема незавершенного строительства (долгостроя).</w:t>
      </w:r>
    </w:p>
    <w:p>
      <w:pPr>
        <w:spacing w:after="60"/>
        <w:ind w:firstLine="567"/>
        <w:jc w:val="both"/>
      </w:pPr>
      <w:r>
        <w:rPr>
          <w:rFonts w:ascii="Arial" w:cs="Arial" w:eastAsia="Arial" w:hAnsi="Arial"/>
          <w:sz w:val="24"/>
          <w:szCs w:val="24"/>
        </w:rPr>
        <w:t xml:space="preserve">Вместе с тем, государственные капитальные вложения будут направлены на обеспечение устойчивого экономического развития регионов республики, совершенствование оптимального планирования и распределения капитальных вложений в наиболее приоритетные инвестиционные проекты с учетом концепции регионального развития и отраслевых экономических программ. Основными задачами по совершенствованию и развитию финансирования за счет государственных капитальных вложений будут:</w:t>
      </w:r>
    </w:p>
    <w:p>
      <w:pPr>
        <w:spacing w:after="60"/>
        <w:ind w:firstLine="567"/>
        <w:jc w:val="both"/>
      </w:pPr>
      <w:r>
        <w:rPr>
          <w:rFonts w:ascii="Arial" w:cs="Arial" w:eastAsia="Arial" w:hAnsi="Arial"/>
          <w:sz w:val="24"/>
          <w:szCs w:val="24"/>
        </w:rPr>
        <w:t xml:space="preserve">- осуществление формирования перечней приоритетных бюджетных инвестиционных проектов на основании действующих и разрабатываемых государственных, отраслевых (секторальных) и региональных программ;</w:t>
      </w:r>
    </w:p>
    <w:p>
      <w:pPr>
        <w:spacing w:after="60"/>
        <w:ind w:firstLine="567"/>
        <w:jc w:val="both"/>
      </w:pPr>
      <w:r>
        <w:rPr>
          <w:rFonts w:ascii="Arial" w:cs="Arial" w:eastAsia="Arial" w:hAnsi="Arial"/>
          <w:sz w:val="24"/>
          <w:szCs w:val="24"/>
        </w:rPr>
        <w:t xml:space="preserve">- разработка перечня приоритетных республиканских бюджетных инвестиционных проектов и перечня приоритетных местных бюджетных инвестиционных проектов ежегодно на трехлетний период в составе среднесрочного плана социально-экономического развития, которые будут служить основой для разработки республиканского и местных бюджетов соответственно, в части определения перечня и объемов финансирования бюджетных программ развития.</w:t>
      </w:r>
    </w:p>
    <w:p>
      <w:pPr>
        <w:spacing w:after="60"/>
        <w:ind w:firstLine="567"/>
        <w:jc w:val="both"/>
      </w:pPr>
      <w:r>
        <w:rPr>
          <w:rFonts w:ascii="Arial" w:cs="Arial" w:eastAsia="Arial" w:hAnsi="Arial"/>
          <w:sz w:val="24"/>
          <w:szCs w:val="24"/>
        </w:rPr>
        <w:t xml:space="preserve">В 2017 году при увеличении ресурсов для государственных капитальных вложений планируется финансирование на завершение строительства ранее начатых объектов образования, здравоохранения, культуры и спорта, будет продолжено финансирование строительства и развитие социальной и инженерной инфраструктуры города Бишкек, также планируется в приоритетном порядке финансирование строительства автомобильных дорог стратегического значения, в том числе строительства автодороги Каракол - Тюп - Кеген и автодорог, находящихся в приграничных районах республики (автодорога в Баткенской области); в соответствии с государственной программой строительства водохозяйственных сооружений будет продолжаться финансирование завершения строительства ирригационных каналов, которое позволит осваивать значительные площади новых орошаемых земель в Баткенской, Нарынской, Таласской и других областях Кыргызской Республики.</w:t>
      </w:r>
    </w:p>
    <w:p>
      <w:pPr>
        <w:spacing w:after="60"/>
        <w:ind w:firstLine="567"/>
        <w:jc w:val="both"/>
      </w:pPr>
      <w:r>
        <w:rPr>
          <w:rFonts w:ascii="Arial" w:cs="Arial" w:eastAsia="Arial" w:hAnsi="Arial"/>
          <w:sz w:val="24"/>
          <w:szCs w:val="24"/>
        </w:rPr>
        <w:t xml:space="preserve">В 2017 году важнейшими приоритетами программы государственных инвестиций (далее - ПГИ) останутся развитие транспортной системы, энергетической инфраструктуры, а также сельского хозяйства, ирригации и социальной инфраструктуры.</w:t>
      </w:r>
    </w:p>
    <w:p>
      <w:pPr>
        <w:spacing w:after="60"/>
        <w:ind w:firstLine="567"/>
        <w:jc w:val="both"/>
      </w:pPr>
      <w:r>
        <w:rPr>
          <w:rFonts w:ascii="Arial" w:cs="Arial" w:eastAsia="Arial" w:hAnsi="Arial"/>
          <w:sz w:val="24"/>
          <w:szCs w:val="24"/>
        </w:rPr>
        <w:t xml:space="preserve">В 2017 году общая сумма бюджетного финансирования государственных инвестиций из всех источников составит 43647,8 млн. сомов. При этом доля внешнего финансирования за счет займов и грантов составит 42264,3 млн. сомов (96,8% от общей суммы финансирования), на софинансирование проектов ПГИ будет использовано 1383,5 млн. сомов (3,2%).</w:t>
      </w:r>
    </w:p>
    <w:p>
      <w:pPr>
        <w:spacing w:after="60"/>
        <w:ind w:firstLine="567"/>
        <w:jc w:val="both"/>
      </w:pPr>
      <w:r>
        <w:rPr>
          <w:rFonts w:ascii="Arial" w:cs="Arial" w:eastAsia="Arial" w:hAnsi="Arial"/>
          <w:sz w:val="24"/>
          <w:szCs w:val="24"/>
        </w:rPr>
        <w:t xml:space="preserve">В 2017 году доминирующую роль будет играть экономический блок, на который будет приходиться 90,9% всего финансирования (40236,3 млн. сомов). Экономический блок включает такие направления, как сельское хозяйство, транспорт, энергетика и социальная инфраструктура, куда направляются значительные объемы государственных инвестиций.</w:t>
      </w:r>
    </w:p>
    <w:p>
      <w:pPr>
        <w:spacing w:after="60"/>
        <w:ind w:firstLine="567"/>
        <w:jc w:val="both"/>
      </w:pPr>
      <w:r>
        <w:rPr>
          <w:rFonts w:ascii="Arial" w:cs="Arial" w:eastAsia="Arial" w:hAnsi="Arial"/>
          <w:sz w:val="24"/>
          <w:szCs w:val="24"/>
        </w:rPr>
        <w:t xml:space="preserve">На социальный сектор будет направлено 3027,4 млн. сомов, или 6,9% от общего объема финансирования.</w:t>
      </w:r>
    </w:p>
    <w:p>
      <w:pPr>
        <w:spacing w:after="60"/>
        <w:ind w:firstLine="567"/>
        <w:jc w:val="both"/>
      </w:pPr>
      <w:r>
        <w:rPr>
          <w:rFonts w:ascii="Arial" w:cs="Arial" w:eastAsia="Arial" w:hAnsi="Arial"/>
          <w:sz w:val="24"/>
          <w:szCs w:val="24"/>
        </w:rPr>
        <w:t xml:space="preserve">Главными целями финансирования сектора здравоохранения являются обеспечение всем жителям страны устойчивого доступа к услугам системы здравоохранения, снижение финансовой нагрузки в случае заболевания, повышение эффективности и качества услуг в системе здравоохранения, а также стремление сделать ее более ориентированной на пациентов и более прозрачной. Общая сумма составляет 1041,1 млн. сомов.</w:t>
      </w:r>
    </w:p>
    <w:p>
      <w:pPr>
        <w:spacing w:after="60"/>
        <w:ind w:firstLine="567"/>
        <w:jc w:val="both"/>
      </w:pPr>
      <w:r>
        <w:rPr>
          <w:rFonts w:ascii="Arial" w:cs="Arial" w:eastAsia="Arial" w:hAnsi="Arial"/>
          <w:sz w:val="24"/>
          <w:szCs w:val="24"/>
        </w:rPr>
        <w:t xml:space="preserve">В секторе здравоохранения реализуются следующие проекты:</w:t>
      </w:r>
    </w:p>
    <w:p>
      <w:pPr>
        <w:spacing w:after="60"/>
        <w:ind w:firstLine="567"/>
        <w:jc w:val="both"/>
      </w:pPr>
      <w:r>
        <w:rPr>
          <w:rFonts w:ascii="Arial" w:cs="Arial" w:eastAsia="Arial" w:hAnsi="Arial"/>
          <w:sz w:val="24"/>
          <w:szCs w:val="24"/>
        </w:rPr>
        <w:t xml:space="preserve">1) "Борьба с туберкулезом V" предусматривает приобретение противотуберкулезных лекарств, технического и нетехнического медицинского оборудования, лабораторного оснащения, расходных материалов, также создание системы управления качеством в Национальной референс-лаборатории и финансирование строительных работ в учреждениях для лечения туберкулеза и оплаты консультационных услуг;</w:t>
      </w:r>
    </w:p>
    <w:p>
      <w:pPr>
        <w:spacing w:after="60"/>
        <w:ind w:firstLine="567"/>
        <w:jc w:val="both"/>
      </w:pPr>
      <w:r>
        <w:rPr>
          <w:rFonts w:ascii="Arial" w:cs="Arial" w:eastAsia="Arial" w:hAnsi="Arial"/>
          <w:sz w:val="24"/>
          <w:szCs w:val="24"/>
        </w:rPr>
        <w:t xml:space="preserve">2) средства Проекта "Создание национальной системы экстренной медицины II" будут направлены на строительство и оснащение медицинским и немедицинским оборудованием интегрированного отделения экстренной медицины в Джалал-Абадской областной больнице и на оказание консультационных услуг, обучение, направленное на повышение медицинской квалификации;</w:t>
      </w:r>
    </w:p>
    <w:p>
      <w:pPr>
        <w:spacing w:after="60"/>
        <w:ind w:firstLine="567"/>
        <w:jc w:val="both"/>
      </w:pPr>
      <w:r>
        <w:rPr>
          <w:rFonts w:ascii="Arial" w:cs="Arial" w:eastAsia="Arial" w:hAnsi="Arial"/>
          <w:sz w:val="24"/>
          <w:szCs w:val="24"/>
        </w:rPr>
        <w:t xml:space="preserve">3) Проект "Профилактика ВИЧ-инфекций/СПИДа II" направлен на улучшение качества и безопасности донорской крови и продуктов, изготовленных из ее компонентов. Проект предусматривает реабилитацию учреждений службы крови, приобретение медицинского и немедицинского оборудования, мобильных пунктов сдачи крови, расходных материалов, а также техническую поддержку Министерства здравоохранения Кыргызской Республики с целью дальнейшего развития и внедрения запланированных мер по реализации системы службы крови, а также управление контролем качества процедур по переливанию крови;</w:t>
      </w:r>
    </w:p>
    <w:p>
      <w:pPr>
        <w:spacing w:after="60"/>
        <w:ind w:firstLine="567"/>
        <w:jc w:val="both"/>
      </w:pPr>
      <w:r>
        <w:rPr>
          <w:rFonts w:ascii="Arial" w:cs="Arial" w:eastAsia="Arial" w:hAnsi="Arial"/>
          <w:sz w:val="24"/>
          <w:szCs w:val="24"/>
        </w:rPr>
        <w:t xml:space="preserve">4) Проектом "Здравоохранение и социальная защита III" предусмотрено оказание поддержки Министерству здравоохранения Кыргызской Республики в реализации Программы "Ден соолук";</w:t>
      </w:r>
    </w:p>
    <w:p>
      <w:pPr>
        <w:spacing w:after="60"/>
        <w:ind w:firstLine="567"/>
        <w:jc w:val="both"/>
      </w:pPr>
      <w:r>
        <w:rPr>
          <w:rFonts w:ascii="Arial" w:cs="Arial" w:eastAsia="Arial" w:hAnsi="Arial"/>
          <w:sz w:val="24"/>
          <w:szCs w:val="24"/>
        </w:rPr>
        <w:t xml:space="preserve">5) Проект "Охрана материнства и детства IV-IX" направлен на улучшение медицинской помощи беременным и больным. Программа также направлена на снижение уровня детской смертности и улучшение материнского здоровья. В рамках программы предусматривается создание Перинатального центра республиканского уровня на территории Национального центра охраны материнства и детства в городе Бишкек, приобретение медицинского оборудования, оказание технической поддержки Министерству здравоохранения Кыргызской Республики при разработке и внедрении системы перевозки новорожденных детей, внедрение системы направления на лечение;</w:t>
      </w:r>
    </w:p>
    <w:p>
      <w:pPr>
        <w:spacing w:after="60"/>
        <w:ind w:firstLine="567"/>
        <w:jc w:val="both"/>
      </w:pPr>
      <w:r>
        <w:rPr>
          <w:rFonts w:ascii="Arial" w:cs="Arial" w:eastAsia="Arial" w:hAnsi="Arial"/>
          <w:sz w:val="24"/>
          <w:szCs w:val="24"/>
        </w:rPr>
        <w:t xml:space="preserve">6) Проект "Строительство нового корпуса для Городской детской клинической больницы скорой медицинской помощи города Бишкек" направлен на повышение качества оказания медико-санитарной помощи больным детям с хирургической патологией в возрасте с момента рождения до 16-17 лет, в масштабе всей страны, путем организации современной госпитальной, доступной, неотложной, круглосуточной, своевременной, специализированной и качественной медицинской помощи на уровне передовых стран;</w:t>
      </w:r>
    </w:p>
    <w:p>
      <w:pPr>
        <w:spacing w:after="60"/>
        <w:ind w:firstLine="567"/>
        <w:jc w:val="both"/>
      </w:pPr>
      <w:r>
        <w:rPr>
          <w:rFonts w:ascii="Arial" w:cs="Arial" w:eastAsia="Arial" w:hAnsi="Arial"/>
          <w:sz w:val="24"/>
          <w:szCs w:val="24"/>
        </w:rPr>
        <w:t xml:space="preserve">Также финансирование направлено в сектор образования, общая сумма составляет 1926,3 млн. сомов. Проекты направлены на обеспечение доступности качественного дошкольного образования для социально уязвимых слоев населения, в том числе этнических меньшинств и детей с особыми образовательными потребностями, а также улучшение преподавательской деятельности и обеспеченности классов учебно-методическими материалами посредством предоставления обучения, образовательных материалов, товаров и технической помощи.</w:t>
      </w:r>
    </w:p>
    <w:p>
      <w:pPr>
        <w:spacing w:after="60"/>
        <w:ind w:firstLine="567"/>
        <w:jc w:val="both"/>
      </w:pPr>
      <w:r>
        <w:rPr>
          <w:rFonts w:ascii="Arial" w:cs="Arial" w:eastAsia="Arial" w:hAnsi="Arial"/>
          <w:sz w:val="24"/>
          <w:szCs w:val="24"/>
        </w:rPr>
        <w:t xml:space="preserve">Воздействие Второго проекта Азиатского банка развития "Профессиональное образование и развитие навыков" будет направлено на обеспечение инклюзивного роста посредством улучшенных возможностей доходоприносящей деятельности для выпускников системы профессионально-технического образования и обучения.</w:t>
      </w:r>
    </w:p>
    <w:p>
      <w:pPr>
        <w:spacing w:after="60"/>
        <w:ind w:firstLine="567"/>
        <w:jc w:val="both"/>
      </w:pPr>
      <w:r>
        <w:rPr>
          <w:rFonts w:ascii="Arial" w:cs="Arial" w:eastAsia="Arial" w:hAnsi="Arial"/>
          <w:sz w:val="24"/>
          <w:szCs w:val="24"/>
        </w:rPr>
        <w:t xml:space="preserve">Также планируется начать реализацию новых проектов - Третий проект Азиатского банка развития "Профессиональное образование и развитие навыков", а также "Строительство государственных школ", целью которого является строительство объектов образования, обеспечение учащихся и учителей новым комфортным зданием школы, отвечающим санитарно-гигиеническим нормам и позволяющим проводить учебный процесс и предоставить детям возможность получать образование в комфортных условиях, то есть, соответствие здания школы общепринятым нормам по оснащению, комплектации, и безопасности.</w:t>
      </w:r>
    </w:p>
    <w:p>
      <w:pPr>
        <w:spacing w:after="60"/>
        <w:ind w:firstLine="567"/>
        <w:jc w:val="both"/>
      </w:pPr>
      <w:r>
        <w:rPr>
          <w:rFonts w:ascii="Arial" w:cs="Arial" w:eastAsia="Arial" w:hAnsi="Arial"/>
          <w:sz w:val="24"/>
          <w:szCs w:val="24"/>
        </w:rPr>
        <w:t xml:space="preserve">Сельское хозяйство будет поддержано финансированием следующих проектов: "Поддержка общественных семенных фондов" (Всемирный банк), "Развитие животноводства и рынка" (Международный фонд сельскохозяйственного развития), "Развитие животноводства и рынка - 2" (Международный фонд сельскохозяйственного развития), "Улучшение управления пастбищами и животноводством" (Международная ассоциация развития), "Финансирование поставок сельскохозяйственной техники в КР" (Евразийский банк развития), "Финансирование проектов с/х секторе и развитие сельских регионов" (Польша), "Управление национальными водными ресурсами - Фаза 1" (Международная ассоциация развития), а также планируется начать реализацию новых проектов "Повышение производительности в сельском хозяйстве и улучшение питания" (Глобальный фонд по сельскому хозяйству и продовольственной безопасности), "Цепочка добавленной стоимости агрофинансирования" (Европейский инвестиционный банк, Германский банк развития) и других, на инвестирование которых будет направлено 4407,9 млн. сомов.</w:t>
      </w:r>
    </w:p>
    <w:p>
      <w:pPr>
        <w:spacing w:after="60" w:before="200"/>
        <w:ind w:firstLine="567"/>
        <w:jc w:val="left"/>
      </w:pPr>
      <w:r>
        <w:rPr>
          <w:rFonts w:ascii="Arial" w:cs="Arial" w:eastAsia="Arial" w:hAnsi="Arial"/>
          <w:b/>
          <w:bCs/>
          <w:sz w:val="24"/>
          <w:szCs w:val="24"/>
        </w:rPr>
        <w:t xml:space="preserve">5.6. Инвестиционная политика</w:t>
      </w:r>
    </w:p>
    <w:p>
      <w:pPr>
        <w:spacing w:after="60"/>
        <w:ind w:firstLine="567"/>
        <w:jc w:val="both"/>
      </w:pPr>
      <w:r>
        <w:rPr>
          <w:rFonts w:ascii="Arial" w:cs="Arial" w:eastAsia="Arial" w:hAnsi="Arial"/>
          <w:sz w:val="24"/>
          <w:szCs w:val="24"/>
        </w:rPr>
        <w:t xml:space="preserve">Основной целью инвестиционной политики на 2017 год является повышение привлекательности инвестиционного климата в Кыргызской Республике, включая обеспечение защиты прав собственников и участников экономических отношений.</w:t>
      </w:r>
    </w:p>
    <w:p>
      <w:pPr>
        <w:spacing w:after="60"/>
        <w:ind w:firstLine="567"/>
        <w:jc w:val="both"/>
      </w:pPr>
      <w:r>
        <w:rPr>
          <w:rFonts w:ascii="Arial" w:cs="Arial" w:eastAsia="Arial" w:hAnsi="Arial"/>
          <w:sz w:val="24"/>
          <w:szCs w:val="24"/>
        </w:rPr>
        <w:t xml:space="preserve">Основными задачами инвестиционной политики в 2017 году являются:</w:t>
      </w:r>
    </w:p>
    <w:p>
      <w:pPr>
        <w:spacing w:after="60"/>
        <w:ind w:firstLine="567"/>
        <w:jc w:val="both"/>
      </w:pPr>
      <w:r>
        <w:rPr>
          <w:rFonts w:ascii="Arial" w:cs="Arial" w:eastAsia="Arial" w:hAnsi="Arial"/>
          <w:sz w:val="24"/>
          <w:szCs w:val="24"/>
        </w:rPr>
        <w:t xml:space="preserve">- создание благоприятной ситуации в регионах, способствующей повышению инвестиционной активности;</w:t>
      </w:r>
    </w:p>
    <w:p>
      <w:pPr>
        <w:spacing w:after="60"/>
        <w:ind w:firstLine="567"/>
        <w:jc w:val="both"/>
      </w:pPr>
      <w:r>
        <w:rPr>
          <w:rFonts w:ascii="Arial" w:cs="Arial" w:eastAsia="Arial" w:hAnsi="Arial"/>
          <w:sz w:val="24"/>
          <w:szCs w:val="24"/>
        </w:rPr>
        <w:t xml:space="preserve">- привлечение местных инвестиций для реализации проектов;</w:t>
      </w:r>
    </w:p>
    <w:p>
      <w:pPr>
        <w:spacing w:after="60"/>
        <w:ind w:firstLine="567"/>
        <w:jc w:val="both"/>
      </w:pPr>
      <w:r>
        <w:rPr>
          <w:rFonts w:ascii="Arial" w:cs="Arial" w:eastAsia="Arial" w:hAnsi="Arial"/>
          <w:sz w:val="24"/>
          <w:szCs w:val="24"/>
        </w:rPr>
        <w:t xml:space="preserve">- государственная поддержка наиболее важных жизнеобеспечивающих производств и социальной сферы;</w:t>
      </w:r>
    </w:p>
    <w:p>
      <w:pPr>
        <w:spacing w:after="60"/>
        <w:ind w:firstLine="567"/>
        <w:jc w:val="both"/>
      </w:pPr>
      <w:r>
        <w:rPr>
          <w:rFonts w:ascii="Arial" w:cs="Arial" w:eastAsia="Arial" w:hAnsi="Arial"/>
          <w:sz w:val="24"/>
          <w:szCs w:val="24"/>
        </w:rPr>
        <w:t xml:space="preserve">- реконструирование и совершенствование инструментов инвестиционной привлекательности;</w:t>
      </w:r>
    </w:p>
    <w:p>
      <w:pPr>
        <w:spacing w:after="60"/>
        <w:ind w:firstLine="567"/>
        <w:jc w:val="both"/>
      </w:pPr>
      <w:r>
        <w:rPr>
          <w:rFonts w:ascii="Arial" w:cs="Arial" w:eastAsia="Arial" w:hAnsi="Arial"/>
          <w:sz w:val="24"/>
          <w:szCs w:val="24"/>
        </w:rPr>
        <w:t xml:space="preserve">- инвестирование в приоритетные и стратегически значимые отрасли региональной экономики;</w:t>
      </w:r>
    </w:p>
    <w:p>
      <w:pPr>
        <w:spacing w:after="60"/>
        <w:ind w:firstLine="567"/>
        <w:jc w:val="both"/>
      </w:pPr>
      <w:r>
        <w:rPr>
          <w:rFonts w:ascii="Arial" w:cs="Arial" w:eastAsia="Arial" w:hAnsi="Arial"/>
          <w:sz w:val="24"/>
          <w:szCs w:val="24"/>
        </w:rPr>
        <w:t xml:space="preserve">- инвестирование, направленное на развитие человеческих ресурсов, улучшение среды проживания населения;</w:t>
      </w:r>
    </w:p>
    <w:p>
      <w:pPr>
        <w:spacing w:after="60"/>
        <w:ind w:firstLine="567"/>
        <w:jc w:val="both"/>
      </w:pPr>
      <w:r>
        <w:rPr>
          <w:rFonts w:ascii="Arial" w:cs="Arial" w:eastAsia="Arial" w:hAnsi="Arial"/>
          <w:sz w:val="24"/>
          <w:szCs w:val="24"/>
        </w:rPr>
        <w:t xml:space="preserve">- повышение эффективности государственной поддержки субъектов предпринимательской и инвестиционной деятельности;</w:t>
      </w:r>
    </w:p>
    <w:p>
      <w:pPr>
        <w:spacing w:after="60"/>
        <w:ind w:firstLine="567"/>
        <w:jc w:val="both"/>
      </w:pPr>
      <w:r>
        <w:rPr>
          <w:rFonts w:ascii="Arial" w:cs="Arial" w:eastAsia="Arial" w:hAnsi="Arial"/>
          <w:sz w:val="24"/>
          <w:szCs w:val="24"/>
        </w:rPr>
        <w:t xml:space="preserve">- развитие международного и межрегионального сотрудничества;</w:t>
      </w:r>
    </w:p>
    <w:p>
      <w:pPr>
        <w:spacing w:after="60"/>
        <w:ind w:firstLine="567"/>
        <w:jc w:val="both"/>
      </w:pPr>
      <w:r>
        <w:rPr>
          <w:rFonts w:ascii="Arial" w:cs="Arial" w:eastAsia="Arial" w:hAnsi="Arial"/>
          <w:sz w:val="24"/>
          <w:szCs w:val="24"/>
        </w:rPr>
        <w:t xml:space="preserve">- устранение административных барьеров, ограничивающих интенсивное развитие предпринимательства и инвестирование на территории регионов;</w:t>
      </w:r>
    </w:p>
    <w:p>
      <w:pPr>
        <w:spacing w:after="60"/>
        <w:ind w:firstLine="567"/>
        <w:jc w:val="both"/>
      </w:pPr>
      <w:r>
        <w:rPr>
          <w:rFonts w:ascii="Arial" w:cs="Arial" w:eastAsia="Arial" w:hAnsi="Arial"/>
          <w:sz w:val="24"/>
          <w:szCs w:val="24"/>
        </w:rPr>
        <w:t xml:space="preserve">- лояльное отношение к субъектам инвестиционной и предпринимательской деятельности со стороны органов власти.</w:t>
      </w:r>
    </w:p>
    <w:p>
      <w:pPr>
        <w:spacing w:after="60" w:before="200"/>
        <w:ind w:firstLine="567"/>
        <w:jc w:val="left"/>
      </w:pPr>
      <w:r>
        <w:rPr>
          <w:rFonts w:ascii="Arial" w:cs="Arial" w:eastAsia="Arial" w:hAnsi="Arial"/>
          <w:b/>
          <w:bCs/>
          <w:sz w:val="24"/>
          <w:szCs w:val="24"/>
        </w:rPr>
        <w:t xml:space="preserve">5.7. Инновационная политика</w:t>
      </w:r>
    </w:p>
    <w:p>
      <w:pPr>
        <w:spacing w:after="60"/>
        <w:ind w:firstLine="567"/>
        <w:jc w:val="both"/>
      </w:pPr>
      <w:r>
        <w:rPr>
          <w:rFonts w:ascii="Arial" w:cs="Arial" w:eastAsia="Arial" w:hAnsi="Arial"/>
          <w:sz w:val="24"/>
          <w:szCs w:val="24"/>
        </w:rPr>
        <w:t xml:space="preserve">Основной целью инновационной политики является создание эффективной системы защиты интеллектуальной собственности и инновационной деятельности для развития экономики и повышения ее конкурентоспособности.</w:t>
      </w:r>
    </w:p>
    <w:p>
      <w:pPr>
        <w:spacing w:after="60"/>
        <w:ind w:firstLine="567"/>
        <w:jc w:val="both"/>
      </w:pPr>
      <w:r>
        <w:rPr>
          <w:rFonts w:ascii="Arial" w:cs="Arial" w:eastAsia="Arial" w:hAnsi="Arial"/>
          <w:sz w:val="24"/>
          <w:szCs w:val="24"/>
        </w:rPr>
        <w:t xml:space="preserve">Для развития системы интеллектуальной собственности и инноваций будет проводиться работа по достижению целей и задач НСУР, которая направлена на содействие становлению устойчивой экономики страны, основанной на знаниях, поощрении инвестиций в реализацию инноваций и стимулировании предпринимательства. Будут проводиться работы по дальнейшему совершенствованию нормативной правовой базы и процедур предоставления правовой охраны объектам интеллектуальной собственности, повышению уровня защиты прав на объекты интеллектуальной собственности, формированию государственного патентного фонда, стимулированию Интеллектуального творчества и коммерциализации объектов интеллектуальной собственности.</w:t>
      </w:r>
    </w:p>
    <w:p>
      <w:pPr>
        <w:spacing w:after="60"/>
        <w:ind w:firstLine="567"/>
        <w:jc w:val="both"/>
      </w:pPr>
      <w:r>
        <w:rPr>
          <w:rFonts w:ascii="Arial" w:cs="Arial" w:eastAsia="Arial" w:hAnsi="Arial"/>
          <w:sz w:val="24"/>
          <w:szCs w:val="24"/>
        </w:rPr>
        <w:t xml:space="preserve">В среднесрочном периоде, исходя из имеющихся возможностей страны, работа будет направлена на создание системы и механизмов поиска, заимствования, адаптации и распространения эффективных и инновационных технологий для отечественных предприятий. Приоритетными направлениями определены следующие: (1) создание благоприятных условий для развития инновационной деятельности и использования объектов интеллектуальной собственности; (2) содействие модернизации экономики через передовые технологии; (3) создание условий для обучения, повышения квалификации и информированности общества о роли и значении интеллектуальной собственности и инновационной деятельности.</w:t>
      </w:r>
    </w:p>
    <w:p>
      <w:pPr>
        <w:spacing w:after="60"/>
        <w:ind w:firstLine="567"/>
        <w:jc w:val="both"/>
      </w:pPr>
      <w:r>
        <w:rPr>
          <w:rFonts w:ascii="Arial" w:cs="Arial" w:eastAsia="Arial" w:hAnsi="Arial"/>
          <w:sz w:val="24"/>
          <w:szCs w:val="24"/>
        </w:rPr>
        <w:t xml:space="preserve">Будет реализовываться комплекс мер по повышению качества экспертизы при предоставлении правовой охраны объектам интеллектуальной собственности, повышению уровня защиты прав на объекты интеллектуальной собственности, созданию элементов национальной инновационной системы, информированию общества о роли и значении интеллектуальной собственности и инновационной деятельности и развитию интеллектуального творчества.</w:t>
      </w:r>
    </w:p>
    <w:p>
      <w:pPr>
        <w:spacing w:after="60"/>
        <w:ind w:firstLine="567"/>
        <w:jc w:val="both"/>
      </w:pPr>
      <w:r>
        <w:rPr>
          <w:rFonts w:ascii="Arial" w:cs="Arial" w:eastAsia="Arial" w:hAnsi="Arial"/>
          <w:sz w:val="24"/>
          <w:szCs w:val="24"/>
        </w:rPr>
        <w:t xml:space="preserve">Для развития инновационной деятельности намечено решение задач по совершенствованию процедур предоставления правовой охраны объектам интеллектуальной собственности, содействию предпринимателям в осуществлении поиска информации и потенциальных бизнес-партнеров на базе филиалов Центра поддержки технологий и инноваций при Торгово-промышленной палате Кыргызской Республики, обучению представителей малого и среднего предпринимательства методам получения экономической выгоды от использования инноваций, внедрению новых технологий через отбор и содействие продвижению инновационных проектов, поиску инвестиционной поддержки для внедрения опытных образцов в производство.</w:t>
      </w:r>
    </w:p>
    <w:p>
      <w:pPr>
        <w:spacing w:after="60"/>
        <w:ind w:firstLine="567"/>
        <w:jc w:val="both"/>
      </w:pPr>
      <w:r>
        <w:rPr>
          <w:rFonts w:ascii="Arial" w:cs="Arial" w:eastAsia="Arial" w:hAnsi="Arial"/>
          <w:sz w:val="24"/>
          <w:szCs w:val="24"/>
        </w:rPr>
        <w:t xml:space="preserve">Принятые меры будут способствовать:</w:t>
      </w:r>
    </w:p>
    <w:p>
      <w:pPr>
        <w:spacing w:after="60"/>
        <w:ind w:firstLine="567"/>
        <w:jc w:val="both"/>
      </w:pPr>
      <w:r>
        <w:rPr>
          <w:rFonts w:ascii="Arial" w:cs="Arial" w:eastAsia="Arial" w:hAnsi="Arial"/>
          <w:sz w:val="24"/>
          <w:szCs w:val="24"/>
        </w:rPr>
        <w:t xml:space="preserve">- совершенствованию нормативных правовых актов в сфере интеллектуальной собственности;</w:t>
      </w:r>
    </w:p>
    <w:p>
      <w:pPr>
        <w:spacing w:after="60"/>
        <w:ind w:firstLine="567"/>
        <w:jc w:val="both"/>
      </w:pPr>
      <w:r>
        <w:rPr>
          <w:rFonts w:ascii="Arial" w:cs="Arial" w:eastAsia="Arial" w:hAnsi="Arial"/>
          <w:sz w:val="24"/>
          <w:szCs w:val="24"/>
        </w:rPr>
        <w:t xml:space="preserve">- формированию единого видения создания и развития национальной инновационной системы;</w:t>
      </w:r>
    </w:p>
    <w:p>
      <w:pPr>
        <w:spacing w:after="60"/>
        <w:ind w:firstLine="567"/>
        <w:jc w:val="both"/>
      </w:pPr>
      <w:r>
        <w:rPr>
          <w:rFonts w:ascii="Arial" w:cs="Arial" w:eastAsia="Arial" w:hAnsi="Arial"/>
          <w:sz w:val="24"/>
          <w:szCs w:val="24"/>
        </w:rPr>
        <w:t xml:space="preserve">- созданию площадки для сотрудничества между малым и средним предпринимательством, фермерами, государственными структурами страны;</w:t>
      </w:r>
    </w:p>
    <w:p>
      <w:pPr>
        <w:spacing w:after="60"/>
        <w:ind w:firstLine="567"/>
        <w:jc w:val="both"/>
      </w:pPr>
      <w:r>
        <w:rPr>
          <w:rFonts w:ascii="Arial" w:cs="Arial" w:eastAsia="Arial" w:hAnsi="Arial"/>
          <w:sz w:val="24"/>
          <w:szCs w:val="24"/>
        </w:rPr>
        <w:t xml:space="preserve">- обучению представителей бизнес-сообщества, исследовательских институтов практическим навыкам управления правами интеллектуальной собственности и их охраны;</w:t>
      </w:r>
    </w:p>
    <w:p>
      <w:pPr>
        <w:spacing w:after="60"/>
        <w:ind w:firstLine="567"/>
        <w:jc w:val="both"/>
      </w:pPr>
      <w:r>
        <w:rPr>
          <w:rFonts w:ascii="Arial" w:cs="Arial" w:eastAsia="Arial" w:hAnsi="Arial"/>
          <w:sz w:val="24"/>
          <w:szCs w:val="24"/>
        </w:rPr>
        <w:t xml:space="preserve">- развитию и стимулированию интеллектуального потенциала творческой молодежи;</w:t>
      </w:r>
    </w:p>
    <w:p>
      <w:pPr>
        <w:spacing w:after="60"/>
        <w:ind w:firstLine="567"/>
        <w:jc w:val="both"/>
      </w:pPr>
      <w:r>
        <w:rPr>
          <w:rFonts w:ascii="Arial" w:cs="Arial" w:eastAsia="Arial" w:hAnsi="Arial"/>
          <w:sz w:val="24"/>
          <w:szCs w:val="24"/>
        </w:rPr>
        <w:t xml:space="preserve">- повышению информированности общества о роли и значении интеллектуальной собственности и выгодах от нее.</w:t>
      </w:r>
    </w:p>
    <w:p>
      <w:pPr>
        <w:spacing w:after="60" w:before="200"/>
        <w:ind w:firstLine="567"/>
        <w:jc w:val="left"/>
      </w:pPr>
      <w:r>
        <w:rPr>
          <w:rFonts w:ascii="Arial" w:cs="Arial" w:eastAsia="Arial" w:hAnsi="Arial"/>
          <w:b/>
          <w:bCs/>
          <w:sz w:val="24"/>
          <w:szCs w:val="24"/>
        </w:rPr>
        <w:t xml:space="preserve">5.8. Экологическая безопасность и охрана окружающей среды</w:t>
      </w:r>
    </w:p>
    <w:p>
      <w:pPr>
        <w:spacing w:after="60"/>
        <w:ind w:firstLine="567"/>
        <w:jc w:val="both"/>
      </w:pPr>
      <w:r>
        <w:rPr>
          <w:rFonts w:ascii="Arial" w:cs="Arial" w:eastAsia="Arial" w:hAnsi="Arial"/>
          <w:sz w:val="24"/>
          <w:szCs w:val="24"/>
        </w:rPr>
        <w:t xml:space="preserve">Работа в области охраны окружающей среды и обеспечения экологической безопасности будет направлена на развитие экономики и решение социальных вопросов, которые необходимо рассматривать с учетом экологического фактора, поскольку природа и ее компоненты являются одними из основных факторов устойчивого социально-экономического развития.</w:t>
      </w:r>
    </w:p>
    <w:p>
      <w:pPr>
        <w:spacing w:after="60"/>
        <w:ind w:firstLine="567"/>
        <w:jc w:val="both"/>
      </w:pPr>
      <w:r>
        <w:rPr>
          <w:rFonts w:ascii="Arial" w:cs="Arial" w:eastAsia="Arial" w:hAnsi="Arial"/>
          <w:sz w:val="24"/>
          <w:szCs w:val="24"/>
        </w:rPr>
        <w:t xml:space="preserve">Экологическая безопасность как составная часть национальной безопасности является обязательным условием устойчивого развития страны и выступает основой сохранения природных систем и поддержания соответствующего качества окружающей среды.</w:t>
      </w:r>
    </w:p>
    <w:p>
      <w:pPr>
        <w:spacing w:after="60"/>
        <w:ind w:firstLine="567"/>
        <w:jc w:val="both"/>
      </w:pPr>
      <w:r>
        <w:rPr>
          <w:rFonts w:ascii="Arial" w:cs="Arial" w:eastAsia="Arial" w:hAnsi="Arial"/>
          <w:sz w:val="24"/>
          <w:szCs w:val="24"/>
        </w:rPr>
        <w:t xml:space="preserve">Для обеспечения экологической безопасности приоритетными направлениями будут:</w:t>
      </w:r>
    </w:p>
    <w:p>
      <w:pPr>
        <w:spacing w:after="60"/>
        <w:ind w:firstLine="567"/>
        <w:jc w:val="both"/>
      </w:pPr>
      <w:r>
        <w:rPr>
          <w:rFonts w:ascii="Arial" w:cs="Arial" w:eastAsia="Arial" w:hAnsi="Arial"/>
          <w:sz w:val="24"/>
          <w:szCs w:val="24"/>
        </w:rPr>
        <w:t xml:space="preserve">- дальнейшее совершенствование национального законодательства с учетом требований глобальных экологических конвенций и международных договоров, а также направлений "зеленого развития";</w:t>
      </w:r>
    </w:p>
    <w:p>
      <w:pPr>
        <w:spacing w:after="60"/>
        <w:ind w:firstLine="567"/>
        <w:jc w:val="both"/>
      </w:pPr>
      <w:r>
        <w:rPr>
          <w:rFonts w:ascii="Arial" w:cs="Arial" w:eastAsia="Arial" w:hAnsi="Arial"/>
          <w:sz w:val="24"/>
          <w:szCs w:val="24"/>
        </w:rPr>
        <w:t xml:space="preserve">- разработка проекта Концепции низкоуглеродного развития и усиление работы по реализации приоритетных направлений адаптации к изменению климата в Кыргызской Республике до 2017 года (постановление Правительства Кыргызской Республики от 2 октября 2013 года № 549);</w:t>
      </w:r>
    </w:p>
    <w:p>
      <w:pPr>
        <w:spacing w:after="60"/>
        <w:ind w:firstLine="567"/>
        <w:jc w:val="both"/>
      </w:pPr>
      <w:r>
        <w:rPr>
          <w:rFonts w:ascii="Arial" w:cs="Arial" w:eastAsia="Arial" w:hAnsi="Arial"/>
          <w:sz w:val="24"/>
          <w:szCs w:val="24"/>
        </w:rPr>
        <w:t xml:space="preserve">- продолжение осуществления мониторинга состояния окружающей среды;</w:t>
      </w:r>
    </w:p>
    <w:p>
      <w:pPr>
        <w:spacing w:after="60"/>
        <w:ind w:firstLine="567"/>
        <w:jc w:val="both"/>
      </w:pPr>
      <w:r>
        <w:rPr>
          <w:rFonts w:ascii="Arial" w:cs="Arial" w:eastAsia="Arial" w:hAnsi="Arial"/>
          <w:sz w:val="24"/>
          <w:szCs w:val="24"/>
        </w:rPr>
        <w:t xml:space="preserve">- осуществление надзора за рациональным использованием природных ресурсов и соблюдением экологических норм и требований;</w:t>
      </w:r>
    </w:p>
    <w:p>
      <w:pPr>
        <w:spacing w:after="60"/>
        <w:ind w:firstLine="567"/>
        <w:jc w:val="both"/>
      </w:pPr>
      <w:r>
        <w:rPr>
          <w:rFonts w:ascii="Arial" w:cs="Arial" w:eastAsia="Arial" w:hAnsi="Arial"/>
          <w:sz w:val="24"/>
          <w:szCs w:val="24"/>
        </w:rPr>
        <w:t xml:space="preserve">- сохранение и воспроизводство биоразнообразия на особо охраняемых природных территориях;</w:t>
      </w:r>
    </w:p>
    <w:p>
      <w:pPr>
        <w:spacing w:after="60"/>
        <w:ind w:firstLine="567"/>
        <w:jc w:val="both"/>
      </w:pPr>
      <w:r>
        <w:rPr>
          <w:rFonts w:ascii="Arial" w:cs="Arial" w:eastAsia="Arial" w:hAnsi="Arial"/>
          <w:sz w:val="24"/>
          <w:szCs w:val="24"/>
        </w:rPr>
        <w:t xml:space="preserve">- дальнейшая реализация Национальной стратегии сохранения снежного барса в Кыргызской Республике на 2013-2023 годы (постановление Правительства Кыргызской Республики от 19 октября 2012 года № 732);</w:t>
      </w:r>
    </w:p>
    <w:p>
      <w:pPr>
        <w:spacing w:after="60"/>
        <w:ind w:firstLine="567"/>
        <w:jc w:val="both"/>
      </w:pPr>
      <w:r>
        <w:rPr>
          <w:rFonts w:ascii="Arial" w:cs="Arial" w:eastAsia="Arial" w:hAnsi="Arial"/>
          <w:sz w:val="24"/>
          <w:szCs w:val="24"/>
        </w:rPr>
        <w:t xml:space="preserve">- усовершенствование методов борьбы с браконьерством;</w:t>
      </w:r>
    </w:p>
    <w:p>
      <w:pPr>
        <w:spacing w:after="60"/>
        <w:ind w:firstLine="567"/>
        <w:jc w:val="both"/>
      </w:pPr>
      <w:r>
        <w:rPr>
          <w:rFonts w:ascii="Arial" w:cs="Arial" w:eastAsia="Arial" w:hAnsi="Arial"/>
          <w:sz w:val="24"/>
          <w:szCs w:val="24"/>
        </w:rPr>
        <w:t xml:space="preserve">- лесовосстановление и увеличение площадей, покрытых лесом;</w:t>
      </w:r>
    </w:p>
    <w:p>
      <w:pPr>
        <w:spacing w:after="60"/>
        <w:ind w:firstLine="567"/>
        <w:jc w:val="both"/>
      </w:pPr>
      <w:r>
        <w:rPr>
          <w:rFonts w:ascii="Arial" w:cs="Arial" w:eastAsia="Arial" w:hAnsi="Arial"/>
          <w:sz w:val="24"/>
          <w:szCs w:val="24"/>
        </w:rPr>
        <w:t xml:space="preserve">- проведение лесоохотустройства;</w:t>
      </w:r>
    </w:p>
    <w:p>
      <w:pPr>
        <w:spacing w:after="60"/>
        <w:ind w:firstLine="567"/>
        <w:jc w:val="both"/>
      </w:pPr>
      <w:r>
        <w:rPr>
          <w:rFonts w:ascii="Arial" w:cs="Arial" w:eastAsia="Arial" w:hAnsi="Arial"/>
          <w:sz w:val="24"/>
          <w:szCs w:val="24"/>
        </w:rPr>
        <w:t xml:space="preserve">- осуществление международного сотрудничества;</w:t>
      </w:r>
    </w:p>
    <w:p>
      <w:pPr>
        <w:spacing w:after="60"/>
        <w:ind w:firstLine="567"/>
        <w:jc w:val="both"/>
      </w:pPr>
      <w:r>
        <w:rPr>
          <w:rFonts w:ascii="Arial" w:cs="Arial" w:eastAsia="Arial" w:hAnsi="Arial"/>
          <w:sz w:val="24"/>
          <w:szCs w:val="24"/>
        </w:rPr>
        <w:t xml:space="preserve">- информирование общественности, экологическое образование;</w:t>
      </w:r>
    </w:p>
    <w:p>
      <w:pPr>
        <w:spacing w:after="60"/>
        <w:ind w:firstLine="567"/>
        <w:jc w:val="both"/>
      </w:pPr>
      <w:r>
        <w:rPr>
          <w:rFonts w:ascii="Arial" w:cs="Arial" w:eastAsia="Arial" w:hAnsi="Arial"/>
          <w:sz w:val="24"/>
          <w:szCs w:val="24"/>
        </w:rPr>
        <w:t xml:space="preserve">- софинансирование природоохранных мероприятий.</w:t>
      </w:r>
    </w:p>
    <w:p>
      <w:pPr>
        <w:spacing w:after="60"/>
        <w:ind w:firstLine="567"/>
        <w:jc w:val="both"/>
      </w:pPr>
      <w:r>
        <w:rPr>
          <w:rFonts w:ascii="Arial" w:cs="Arial" w:eastAsia="Arial" w:hAnsi="Arial"/>
          <w:sz w:val="24"/>
          <w:szCs w:val="24"/>
        </w:rPr>
        <w:t xml:space="preserve">В целях совершенствования национальной экологической политики и нормативной правовой базы для обеспечения экологической безопасности, достижения устойчивого развития страны, с учетом вопросов по изменению климата, будет осуществляться реализация государственных стратегических программ и планов, таких, как НСУР, приоритеты сохранения биологического разнообразия Кыргызской Республики на период до 2024 года (постановление Правительства Кыргызской Республики от 17 марта 2014 года № 131), Национальная стратегия сохранения снежного барса в Кыргызской Республике на 2013-2023 годы (постановление Правительства Кыргызской Республики от 19 октября 2012 года № 732), приоритетные направления адаптации к изменению климата в Кыргызской Республике до 2017 года (постановление Правительства Кыргызской Республики от 2 октября 2013 года № 549), Программа по развитию орехоплодных культур в Кыргызской Республике до 2025 года (постановление Правительства Кыргызской Республики от 2 июня 2014 года № 293), Программа надлежащего управления химическими веществами в Кыргызской Республике (постановление Правительства Кыргызской Республики от 2 марта 2015 года № 91) и другие.</w:t>
      </w:r>
    </w:p>
    <w:p>
      <w:pPr>
        <w:spacing w:after="60" w:before="200"/>
        <w:ind w:firstLine="567"/>
        <w:jc w:val="left"/>
      </w:pPr>
      <w:r>
        <w:rPr>
          <w:rFonts w:ascii="Arial" w:cs="Arial" w:eastAsia="Arial" w:hAnsi="Arial"/>
          <w:b/>
          <w:bCs/>
          <w:sz w:val="24"/>
          <w:szCs w:val="24"/>
        </w:rPr>
        <w:t xml:space="preserve">5.9. Развитие реального сектора</w:t>
      </w:r>
    </w:p>
    <w:p>
      <w:pPr>
        <w:spacing w:after="60" w:before="200"/>
        <w:ind w:firstLine="567"/>
        <w:jc w:val="left"/>
      </w:pPr>
      <w:r>
        <w:rPr>
          <w:rFonts w:ascii="Arial" w:cs="Arial" w:eastAsia="Arial" w:hAnsi="Arial"/>
          <w:b/>
          <w:bCs/>
          <w:sz w:val="24"/>
          <w:szCs w:val="24"/>
        </w:rPr>
        <w:t xml:space="preserve">5.9.1. Сельское хозяйство</w:t>
      </w:r>
    </w:p>
    <w:p>
      <w:pPr>
        <w:spacing w:after="60"/>
        <w:ind w:firstLine="567"/>
        <w:jc w:val="both"/>
      </w:pPr>
      <w:r>
        <w:rPr>
          <w:rFonts w:ascii="Arial" w:cs="Arial" w:eastAsia="Arial" w:hAnsi="Arial"/>
          <w:sz w:val="24"/>
          <w:szCs w:val="24"/>
        </w:rPr>
        <w:t xml:space="preserve">Главной целью развития сельского хозяйства является создание условий для увеличения производства, повышения качества продукции и обеспечения продовольственной безопасности страны. Развитие сельского хозяйства будет сосредоточено на следующих основных направлениях: (1) создание эффективных систем управления сельским хозяйством и подготовки кадров, предпосылок для концентрации сельскохозяйственного производства; (2) поддержка роста производства и экспорта агропромышленной продукции; (3) обеспечение сельскохозяйственного производства сервисными услугами; (4) повышение эффективности рационального использования водных и земельных ресурсов. Для продвижения указанных направлений будут реализованы меры, заложенные в Программе по переходу Кыргызской Республики к устойчивому развитию на 2013-2017 годы (постановление Жогорку Кенеша Кыргызской Республики от 18 декабря 2013 года № 3694-V).</w:t>
      </w:r>
    </w:p>
    <w:p>
      <w:pPr>
        <w:spacing w:after="60"/>
        <w:ind w:firstLine="567"/>
        <w:jc w:val="both"/>
      </w:pPr>
      <w:r>
        <w:rPr>
          <w:rFonts w:ascii="Arial" w:cs="Arial" w:eastAsia="Arial" w:hAnsi="Arial"/>
          <w:sz w:val="24"/>
          <w:szCs w:val="24"/>
        </w:rPr>
        <w:t xml:space="preserve">Валовой выпуск продукции сельского хозяйства, лесного хозяйства и рыболовства в 2017 году прогнозируется в объеме 222,2 млрд. сомов, а темп реального прироста - на уровне 2,2%, с удельным весом в общем объеме ВВП 13,5%, вклад в рост ВВП - 0,30 процентного пункта за счет прироста в растениеводстве на 1,7% и животноводстве - на 2,7%.</w:t>
      </w:r>
    </w:p>
    <w:p>
      <w:pPr>
        <w:spacing w:after="60" w:before="120"/>
        <w:ind w:firstLine="567"/>
        <w:jc w:val="right"/>
      </w:pPr>
      <w:r>
        <w:rPr>
          <w:rFonts w:ascii="Arial" w:cs="Arial" w:eastAsia="Arial" w:hAnsi="Arial"/>
          <w:sz w:val="24"/>
          <w:szCs w:val="24"/>
        </w:rPr>
        <w:t xml:space="preserve">Таблица 12</w:t>
      </w:r>
    </w:p>
    <w:p>
      <w:pPr>
        <w:spacing w:after="200" w:before="200"/>
        <w:jc w:val="center"/>
      </w:pPr>
      <w:r>
        <w:rPr>
          <w:rFonts w:ascii="Arial" w:cs="Arial" w:eastAsia="Arial" w:hAnsi="Arial"/>
          <w:b/>
          <w:bCs/>
          <w:sz w:val="32"/>
          <w:szCs w:val="32"/>
        </w:rPr>
        <w:t xml:space="preserve">Динамика темпов роста в сельском хозяйстве на 2016-2017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55"/>
        <w:gridCol w:w="1126"/>
        <w:gridCol w:w="1126"/>
        <w:gridCol w:w="1186"/>
        <w:gridCol w:w="1186"/>
      </w:tblGrid>
      <w:tr>
        <w:tc>
          <w:tcPr>
            <w:tcW w:type="dxa" w:w="555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225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ожид.</w:t>
            </w:r>
          </w:p>
        </w:tc>
        <w:tc>
          <w:tcPr>
            <w:tcW w:type="dxa" w:w="237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прогноз</w:t>
            </w:r>
          </w:p>
        </w:tc>
      </w:tr>
      <w:tr>
        <w:tc>
          <w:tcPr>
            <w:vMerge w:val="continue"/>
            <w:tcBorders>
              <w:top w:val="single" w:color="CBBF9E" w:sz="4"/>
              <w:left w:val="single" w:color="CBBF9E" w:sz="4"/>
              <w:bottom w:val="single" w:color="CBBF9E" w:sz="4"/>
              <w:right w:val="single" w:color="CBBF9E" w:sz="4"/>
            </w:tcBorders>
          </w:tcPr>
          <w:p/>
        </w:tc>
        <w:tc>
          <w:tcPr>
            <w:tcW w:type="dxa" w:w="11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1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5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сельского хозяйства, лесного хозяйства и рыболовства</w:t>
            </w:r>
          </w:p>
        </w:tc>
        <w:tc>
          <w:tcPr>
            <w:tcW w:type="dxa" w:w="11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206259,0</w:t>
            </w:r>
          </w:p>
        </w:tc>
        <w:tc>
          <w:tcPr>
            <w:tcW w:type="dxa" w:w="11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222185,4</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r>
      <w:tr>
        <w:tc>
          <w:tcPr>
            <w:tcW w:type="dxa" w:w="5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растениеводство</w:t>
            </w:r>
          </w:p>
        </w:tc>
        <w:tc>
          <w:tcPr>
            <w:tcW w:type="dxa" w:w="11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102261,2</w:t>
            </w:r>
          </w:p>
        </w:tc>
        <w:tc>
          <w:tcPr>
            <w:tcW w:type="dxa" w:w="11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107535,5</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r>
      <w:tr>
        <w:tc>
          <w:tcPr>
            <w:tcW w:type="dxa" w:w="55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животноводство</w:t>
            </w:r>
          </w:p>
        </w:tc>
        <w:tc>
          <w:tcPr>
            <w:tcW w:type="dxa" w:w="11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99653,2</w:t>
            </w:r>
          </w:p>
        </w:tc>
        <w:tc>
          <w:tcPr>
            <w:tcW w:type="dxa" w:w="11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110222,8</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r>
    </w:tbl>
    <w:p>
      <w:pPr>
        <w:spacing w:after="60" w:before="120"/>
        <w:ind w:firstLine="567"/>
        <w:jc w:val="both"/>
      </w:pPr>
      <w:r>
        <w:rPr>
          <w:rFonts w:ascii="Arial" w:cs="Arial" w:eastAsia="Arial" w:hAnsi="Arial"/>
          <w:sz w:val="24"/>
          <w:szCs w:val="24"/>
        </w:rPr>
        <w:t xml:space="preserve">Структура производства сельского хозяйства представлена в основном продукцией растениеводства и животноводства, с соответствующим удельным весом 48,4% и 49,6%.</w:t>
      </w:r>
    </w:p>
    <w:p>
      <w:pPr>
        <w:spacing w:after="60"/>
        <w:ind w:firstLine="567"/>
        <w:jc w:val="both"/>
      </w:pPr>
      <w:r>
        <w:rPr>
          <w:rFonts w:ascii="Arial" w:cs="Arial" w:eastAsia="Arial" w:hAnsi="Arial"/>
          <w:sz w:val="24"/>
          <w:szCs w:val="24"/>
        </w:rPr>
        <w:t xml:space="preserve">В 2017 году прогнозируемые темпы роста в растениеводстве будут обеспечены за счет сокращения неиспользованных пахотных земель, восстановления почвенного плодородия земель сельскохозяйственного назначения и проведения комплекса защитных мероприятий против основных особо опасных вредителей, болезней и сорняков, создания благоприятной агрохимической и фитосанитарной обстановки в отрасли земледелия, увеличения удельного веса высеваемых кондиционных семян зерновых колосовых культур, улучшения материально-технической базы сельского хозяйства, активного использования систем капельного орошения, увеличения количества тепличных хозяйств по всей республике, углубления земельной реформы, рационального использования пастбищ, повышения урожайности технических культур, своевременного проведения сеннее-полевых работ, оптимизации структуры посевных площадей, улучшения сортов семян, обновления машинно-тракторного парка.</w:t>
      </w:r>
    </w:p>
    <w:p>
      <w:pPr>
        <w:spacing w:after="60"/>
        <w:ind w:firstLine="567"/>
        <w:jc w:val="both"/>
      </w:pPr>
      <w:r>
        <w:rPr>
          <w:rFonts w:ascii="Arial" w:cs="Arial" w:eastAsia="Arial" w:hAnsi="Arial"/>
          <w:sz w:val="24"/>
          <w:szCs w:val="24"/>
        </w:rPr>
        <w:t xml:space="preserve">В целях максимально эффективного и целесообразного использования площадей для сельскохозяйственного производства планируется увеличение посевной площади некоторых видов агропромышленной продукции местного производства: овощей, бахчевых, сахарной свеклы, хлопка и табака.</w:t>
      </w:r>
    </w:p>
    <w:p>
      <w:pPr>
        <w:spacing w:after="60"/>
        <w:ind w:firstLine="567"/>
        <w:jc w:val="both"/>
      </w:pPr>
      <w:r>
        <w:rPr>
          <w:rFonts w:ascii="Arial" w:cs="Arial" w:eastAsia="Arial" w:hAnsi="Arial"/>
          <w:sz w:val="24"/>
          <w:szCs w:val="24"/>
        </w:rPr>
        <w:t xml:space="preserve">Принимая во внимание предложение агропромышленной продукции государств-членов ЕАЭС, продолжится сокращение посевной площади пшеницы, поскольку сельские товаропроизводители Кыргызской Республики получат доступ к приобретению в Республике Казахстан и Российской Федерации более дешевого и высококачественного продовольственного зерна пшеницы.</w:t>
      </w:r>
    </w:p>
    <w:p>
      <w:pPr>
        <w:spacing w:after="60"/>
        <w:ind w:firstLine="567"/>
        <w:jc w:val="both"/>
      </w:pPr>
      <w:r>
        <w:rPr>
          <w:rFonts w:ascii="Arial" w:cs="Arial" w:eastAsia="Arial" w:hAnsi="Arial"/>
          <w:sz w:val="24"/>
          <w:szCs w:val="24"/>
        </w:rPr>
        <w:t xml:space="preserve">Продолжится работа над увеличением поголовья скота и других видов сельскохозяйственных животных, учитывая спрос Российской Федерации и Республики Казахстан на мясо-молочную продукцию. В связи с этим, для обеспечения прочной кормовой базы в виде концентрированных, грубых и сочных кормов, планируется расширить посевные площади кукурузы на зерно, посевы ячменя, многолетних кормовых бобовых.</w:t>
      </w:r>
    </w:p>
    <w:p>
      <w:pPr>
        <w:spacing w:after="60"/>
        <w:ind w:firstLine="567"/>
        <w:jc w:val="both"/>
      </w:pPr>
      <w:r>
        <w:rPr>
          <w:rFonts w:ascii="Arial" w:cs="Arial" w:eastAsia="Arial" w:hAnsi="Arial"/>
          <w:sz w:val="24"/>
          <w:szCs w:val="24"/>
        </w:rPr>
        <w:t xml:space="preserve">В производстве продукции животноводства реальный прирост будет обеспечен путем увеличения поголовья скота, повышения селекционно-племенной работы за счет расширения сети зооветсервисов и частных ветеринарных служб. В 2017 году рост производства мяса в живом весе прогнозируется на уровне 2,7%, по сравнению с предыдущим годом производство увеличится на 10,9 тыс. тонн, молочной продукции - на 2,6%, с увеличением на 38,4 тыс. тонн, яиц - на 3,6%, с увеличением на 16,0 млн. штук, и шерсти - на 2,0%, с увеличением на 0,3 тыс. тонн.</w:t>
      </w:r>
    </w:p>
    <w:p>
      <w:pPr>
        <w:spacing w:after="60"/>
        <w:ind w:firstLine="567"/>
        <w:jc w:val="both"/>
      </w:pPr>
      <w:r>
        <w:rPr>
          <w:rFonts w:ascii="Arial" w:cs="Arial" w:eastAsia="Arial" w:hAnsi="Arial"/>
          <w:sz w:val="24"/>
          <w:szCs w:val="24"/>
        </w:rPr>
        <w:t xml:space="preserve">На достижение целевых показателей производства сельского хозяйства в 2017 году будут влиять следующие предпосылки:</w:t>
      </w:r>
    </w:p>
    <w:p>
      <w:pPr>
        <w:spacing w:after="60"/>
        <w:ind w:firstLine="567"/>
        <w:jc w:val="both"/>
      </w:pPr>
      <w:r>
        <w:rPr>
          <w:rFonts w:ascii="Arial" w:cs="Arial" w:eastAsia="Arial" w:hAnsi="Arial"/>
          <w:sz w:val="24"/>
          <w:szCs w:val="24"/>
        </w:rPr>
        <w:t xml:space="preserve">- эффект от предоставленных льготных кредитов по программам "Доступные кредиты фермерам" и "Финансирование сельского хозяйства 1, 2, 3", в рамках которых за 2011-2015 годы выдано более 13,5 млрд. сомов;</w:t>
      </w:r>
    </w:p>
    <w:p>
      <w:pPr>
        <w:spacing w:after="60"/>
        <w:ind w:firstLine="567"/>
        <w:jc w:val="both"/>
      </w:pPr>
      <w:r>
        <w:rPr>
          <w:rFonts w:ascii="Arial" w:cs="Arial" w:eastAsia="Arial" w:hAnsi="Arial"/>
          <w:sz w:val="24"/>
          <w:szCs w:val="24"/>
        </w:rPr>
        <w:t xml:space="preserve">- увеличение производства за счет введенных тепличных хозяйств в предыдущие годы;</w:t>
      </w:r>
    </w:p>
    <w:p>
      <w:pPr>
        <w:spacing w:after="60"/>
        <w:ind w:firstLine="567"/>
        <w:jc w:val="both"/>
      </w:pPr>
      <w:r>
        <w:rPr>
          <w:rFonts w:ascii="Arial" w:cs="Arial" w:eastAsia="Arial" w:hAnsi="Arial"/>
          <w:sz w:val="24"/>
          <w:szCs w:val="24"/>
        </w:rPr>
        <w:t xml:space="preserve">- эффект от активного использования систем капельного орошения;</w:t>
      </w:r>
    </w:p>
    <w:p>
      <w:pPr>
        <w:spacing w:after="60"/>
        <w:ind w:firstLine="567"/>
        <w:jc w:val="both"/>
      </w:pPr>
      <w:r>
        <w:rPr>
          <w:rFonts w:ascii="Arial" w:cs="Arial" w:eastAsia="Arial" w:hAnsi="Arial"/>
          <w:sz w:val="24"/>
          <w:szCs w:val="24"/>
        </w:rPr>
        <w:t xml:space="preserve">- снятие ветеринарного контроля на кыргызско-казахстанском участке границы;</w:t>
      </w:r>
    </w:p>
    <w:p>
      <w:pPr>
        <w:spacing w:after="60"/>
        <w:ind w:firstLine="567"/>
        <w:jc w:val="both"/>
      </w:pPr>
      <w:r>
        <w:rPr>
          <w:rFonts w:ascii="Arial" w:cs="Arial" w:eastAsia="Arial" w:hAnsi="Arial"/>
          <w:sz w:val="24"/>
          <w:szCs w:val="24"/>
        </w:rPr>
        <w:t xml:space="preserve">- модернизация машинно-тракторного парка сельскохозяйственных субъектов страны и расширение инфраструктуры технических сервисных служб;</w:t>
      </w:r>
    </w:p>
    <w:p>
      <w:pPr>
        <w:spacing w:after="60"/>
        <w:ind w:firstLine="567"/>
        <w:jc w:val="both"/>
      </w:pPr>
      <w:r>
        <w:rPr>
          <w:rFonts w:ascii="Arial" w:cs="Arial" w:eastAsia="Arial" w:hAnsi="Arial"/>
          <w:sz w:val="24"/>
          <w:szCs w:val="24"/>
        </w:rPr>
        <w:t xml:space="preserve">- строительство современных предприятий по организованному убою скота и первичной переработке мяса;</w:t>
      </w:r>
    </w:p>
    <w:p>
      <w:pPr>
        <w:spacing w:after="60"/>
        <w:ind w:firstLine="567"/>
        <w:jc w:val="both"/>
      </w:pPr>
      <w:r>
        <w:rPr>
          <w:rFonts w:ascii="Arial" w:cs="Arial" w:eastAsia="Arial" w:hAnsi="Arial"/>
          <w:sz w:val="24"/>
          <w:szCs w:val="24"/>
        </w:rPr>
        <w:t xml:space="preserve">- продолжение практики предоставления льготных кредитов сельскохозяйственным производителям;</w:t>
      </w:r>
    </w:p>
    <w:p>
      <w:pPr>
        <w:spacing w:after="60"/>
        <w:ind w:firstLine="567"/>
        <w:jc w:val="both"/>
      </w:pPr>
      <w:r>
        <w:rPr>
          <w:rFonts w:ascii="Arial" w:cs="Arial" w:eastAsia="Arial" w:hAnsi="Arial"/>
          <w:sz w:val="24"/>
          <w:szCs w:val="24"/>
        </w:rPr>
        <w:t xml:space="preserve">- продолжение оказания государственной поддержки в выделении горюче-смазочных материалов, обеспечении фермеров необходимой сельхозтехникой на льготных кредитных условиях путем закупки сельхозтехники по лизингу, в решении проблемы с обеспечением крестьян и фермеров азотными минеральными удобрениями;</w:t>
      </w:r>
    </w:p>
    <w:p>
      <w:pPr>
        <w:spacing w:after="60"/>
        <w:ind w:firstLine="567"/>
        <w:jc w:val="both"/>
      </w:pPr>
      <w:r>
        <w:rPr>
          <w:rFonts w:ascii="Arial" w:cs="Arial" w:eastAsia="Arial" w:hAnsi="Arial"/>
          <w:sz w:val="24"/>
          <w:szCs w:val="24"/>
        </w:rPr>
        <w:t xml:space="preserve">- укрепление и обновление материально-технической базы государственных сортоиспытательных станций и государственных сортоиспытательных участков, увеличение объемов производства их семян в питомниках размножения для ускоренного внедрения в производство;</w:t>
      </w:r>
    </w:p>
    <w:p>
      <w:pPr>
        <w:spacing w:after="60"/>
        <w:ind w:firstLine="567"/>
        <w:jc w:val="both"/>
      </w:pPr>
      <w:r>
        <w:rPr>
          <w:rFonts w:ascii="Arial" w:cs="Arial" w:eastAsia="Arial" w:hAnsi="Arial"/>
          <w:sz w:val="24"/>
          <w:szCs w:val="24"/>
        </w:rPr>
        <w:t xml:space="preserve">- доведение в севообороте площадей многолетних трав до 30% и рациональное использование кормового потенциала пастбищ;</w:t>
      </w:r>
    </w:p>
    <w:p>
      <w:pPr>
        <w:spacing w:after="60"/>
        <w:ind w:firstLine="567"/>
        <w:jc w:val="both"/>
      </w:pPr>
      <w:r>
        <w:rPr>
          <w:rFonts w:ascii="Arial" w:cs="Arial" w:eastAsia="Arial" w:hAnsi="Arial"/>
          <w:sz w:val="24"/>
          <w:szCs w:val="24"/>
        </w:rPr>
        <w:t xml:space="preserve">- обеспечение благополучия эпизоотической обстановки в животноводстве по острозаразным болезням;</w:t>
      </w:r>
    </w:p>
    <w:p>
      <w:pPr>
        <w:spacing w:after="60"/>
        <w:ind w:firstLine="567"/>
        <w:jc w:val="both"/>
      </w:pPr>
      <w:r>
        <w:rPr>
          <w:rFonts w:ascii="Arial" w:cs="Arial" w:eastAsia="Arial" w:hAnsi="Arial"/>
          <w:sz w:val="24"/>
          <w:szCs w:val="24"/>
        </w:rPr>
        <w:t xml:space="preserve">- рациональное использование генофонда сельскохозяйственных животных и птиц, повышение эффективности селекционно-племенной работы, организация в каждом айылном аймаке пунктов искусственного осеменения с использованием ценного генетического материала;</w:t>
      </w:r>
    </w:p>
    <w:p>
      <w:pPr>
        <w:spacing w:after="60"/>
        <w:ind w:firstLine="567"/>
        <w:jc w:val="both"/>
      </w:pPr>
      <w:r>
        <w:rPr>
          <w:rFonts w:ascii="Arial" w:cs="Arial" w:eastAsia="Arial" w:hAnsi="Arial"/>
          <w:sz w:val="24"/>
          <w:szCs w:val="24"/>
        </w:rPr>
        <w:t xml:space="preserve">- увеличение поголовья племенных животных на 1,5-2,0%;</w:t>
      </w:r>
    </w:p>
    <w:p>
      <w:pPr>
        <w:spacing w:after="60"/>
        <w:ind w:firstLine="567"/>
        <w:jc w:val="both"/>
      </w:pPr>
      <w:r>
        <w:rPr>
          <w:rFonts w:ascii="Arial" w:cs="Arial" w:eastAsia="Arial" w:hAnsi="Arial"/>
          <w:sz w:val="24"/>
          <w:szCs w:val="24"/>
        </w:rPr>
        <w:t xml:space="preserve">- улучшение воспроизводства стада путем применения сбалансированных и полноценных по питательным веществам рационов;</w:t>
      </w:r>
    </w:p>
    <w:p>
      <w:pPr>
        <w:spacing w:after="60"/>
        <w:ind w:firstLine="567"/>
        <w:jc w:val="both"/>
      </w:pPr>
      <w:r>
        <w:rPr>
          <w:rFonts w:ascii="Arial" w:cs="Arial" w:eastAsia="Arial" w:hAnsi="Arial"/>
          <w:sz w:val="24"/>
          <w:szCs w:val="24"/>
        </w:rPr>
        <w:t xml:space="preserve">- привлечение прямых инвестиций и собственных средств в развитие отрасли.</w:t>
      </w:r>
    </w:p>
    <w:p>
      <w:pPr>
        <w:spacing w:after="60"/>
        <w:ind w:firstLine="567"/>
        <w:jc w:val="both"/>
      </w:pPr>
      <w:r>
        <w:rPr>
          <w:rFonts w:ascii="Arial" w:cs="Arial" w:eastAsia="Arial" w:hAnsi="Arial"/>
          <w:sz w:val="24"/>
          <w:szCs w:val="24"/>
        </w:rPr>
        <w:t xml:space="preserve">Сельскохозяйственная отрасль представлена почти во всех регионах республики. Основную долю занимают Иссык-Кульская (11,01%), Джалал-Абадская (20,15%), Ошская (18,15%) и Чуйская (25,99%) области.</w:t>
      </w:r>
    </w:p>
    <w:p>
      <w:pPr>
        <w:spacing w:after="60"/>
        <w:ind w:firstLine="567"/>
        <w:jc w:val="both"/>
      </w:pPr>
      <w:r>
        <w:rPr>
          <w:rFonts w:ascii="Arial" w:cs="Arial" w:eastAsia="Arial" w:hAnsi="Arial"/>
          <w:sz w:val="24"/>
          <w:szCs w:val="24"/>
        </w:rPr>
        <w:t xml:space="preserve">Основными рисками в данном секторе будут неблагоприятные природно-климатические условия, недостаточная обеспеченность семенами сельскохозяйственных культур, нехватка и неудовлетворительный уровень качества сельхозтехники; непредсказуемость цен на топливо и ГСМ, недостаточный объем заготавливаемых кормов на зимний период, неблагоприятная эпизоотическая ситуация, неблагоприятное для производителя изменение рыночных цен, неэффективное использование льготных кредитных государственных средств, нерешенные проблемы ветеринарного контроля на кыргызско-казахстанском участке границы.</w:t>
      </w:r>
    </w:p>
    <w:p>
      <w:pPr>
        <w:spacing w:after="60" w:before="200"/>
        <w:ind w:firstLine="567"/>
        <w:jc w:val="left"/>
      </w:pPr>
      <w:r>
        <w:rPr>
          <w:rFonts w:ascii="Arial" w:cs="Arial" w:eastAsia="Arial" w:hAnsi="Arial"/>
          <w:b/>
          <w:bCs/>
          <w:sz w:val="24"/>
          <w:szCs w:val="24"/>
        </w:rPr>
        <w:t xml:space="preserve">5.9.2. Промышленность (без учета стоимости переработанного давальческого сырья)</w:t>
      </w:r>
    </w:p>
    <w:p>
      <w:pPr>
        <w:spacing w:after="60"/>
        <w:ind w:firstLine="567"/>
        <w:jc w:val="both"/>
      </w:pPr>
      <w:r>
        <w:rPr>
          <w:rFonts w:ascii="Arial" w:cs="Arial" w:eastAsia="Arial" w:hAnsi="Arial"/>
          <w:sz w:val="24"/>
          <w:szCs w:val="24"/>
        </w:rPr>
        <w:t xml:space="preserve">В условиях функционирования Кыргызской Республики в ЕАЭС чрезвычайно важной задачей для республики является развитие внутренних источников экономического роста путем наращивания, диверсификации и реализации производственного потенциала с максимальным использованием возможностей экономической интеграции в рамках ЕАЭС.</w:t>
      </w:r>
    </w:p>
    <w:p>
      <w:pPr>
        <w:spacing w:after="60"/>
        <w:ind w:firstLine="567"/>
        <w:jc w:val="both"/>
      </w:pPr>
      <w:r>
        <w:rPr>
          <w:rFonts w:ascii="Arial" w:cs="Arial" w:eastAsia="Arial" w:hAnsi="Arial"/>
          <w:sz w:val="24"/>
          <w:szCs w:val="24"/>
        </w:rPr>
        <w:t xml:space="preserve">С целью формирования высокотехнологичной, конкурентоспособной, устойчивой и сбалансированной (в части спроса и предложения) промышленности, обеспечивающей внутренний и внешний рынки качественной, доступной, энергоэффективной продукцией; снижения зависимости отрасли от зарубежных технологий, оборудования, сырьевых компонентов, обеспечения занятости населения и повышения уровня жизни граждан будет продолжена реализация Программы по переходу Кыргызской Республики к устойчивому развитию на 2013-2017 годы (постановление Жогорку Кенеша Кыргызской Республики от 18 декабря 2013 года № 3694-V), где определены основные стратегические направления промышленной политики - обеспечение благоприятного налогового климата, содействие привлечению инвестиций, увеличению объема экспорта и кооперации, стимулирование развития переработки отечественного сырья, продвижение исследований, разработок и инноваций, обеспечение электроэнергией потребностей экономики и достижение энергетической независимости страны, повышение устойчивости энергоснабжения потребителей и обеспечение достоверности учета произведенной и распределенной электроэнергии, создание различных форм кооперации сельского хозяйства с перерабатывающей промышленностью и торговлей, устойчивое развитие горнодобывающей отрасли при рациональном использовании минерально-сырьевого потенциала и минимизации воздействия на окружающую среду и другие.</w:t>
      </w:r>
    </w:p>
    <w:p>
      <w:pPr>
        <w:spacing w:after="60"/>
        <w:ind w:firstLine="567"/>
        <w:jc w:val="both"/>
      </w:pPr>
      <w:r>
        <w:rPr>
          <w:rFonts w:ascii="Arial" w:cs="Arial" w:eastAsia="Arial" w:hAnsi="Arial"/>
          <w:sz w:val="24"/>
          <w:szCs w:val="24"/>
        </w:rPr>
        <w:t xml:space="preserve">Промышленность остается важнейшей отраслью экономики с точки зрения отчислений в бюджет, экспортных поставок и обеспечения занятостью.</w:t>
      </w:r>
    </w:p>
    <w:p>
      <w:pPr>
        <w:spacing w:after="60"/>
        <w:ind w:firstLine="567"/>
        <w:jc w:val="both"/>
      </w:pPr>
      <w:r>
        <w:rPr>
          <w:rFonts w:ascii="Arial" w:cs="Arial" w:eastAsia="Arial" w:hAnsi="Arial"/>
          <w:sz w:val="24"/>
          <w:szCs w:val="24"/>
        </w:rPr>
        <w:t xml:space="preserve">В общем объеме промышленной продукции шесть отраслей являются экономико- и налогообразующими. В их числе: металлургическая и пищеперерабатывающая отрасли, текстильное и швейное производство, производство прочих неметаллических минеральных продуктов, нефтепродуктов и энергетика. В совокупности, указанные отрасли выпускают почти 90% промышленной продукции и, соответственно, наибольшую долю в структуре экспорта промышленной продукции республики занимают золото, продовольственные товары, швейная продукция и строительные материалы.</w:t>
      </w:r>
    </w:p>
    <w:p>
      <w:pPr>
        <w:spacing w:after="60"/>
        <w:ind w:firstLine="567"/>
        <w:jc w:val="both"/>
      </w:pPr>
      <w:r>
        <w:rPr>
          <w:rFonts w:ascii="Arial" w:cs="Arial" w:eastAsia="Arial" w:hAnsi="Arial"/>
          <w:sz w:val="24"/>
          <w:szCs w:val="24"/>
        </w:rPr>
        <w:t xml:space="preserve">Для наращивания объемов внутреннего производства и повышения производительности будет продолжена работа по стимулированию притока инвестиций в реальный сектор экономики и диверсификации источников привлечения финансовых ресурсов, позволяющих предприятиям осуществлять вложения в создание и воспроизводство основных средств. Это создаст дополнительные возможности для переоснащения и модернизации производственных мощностей с целью снижения импортозависимости и выхода национальной продукции с высокой добавленной стоимостью на внешние рынки.</w:t>
      </w:r>
    </w:p>
    <w:p>
      <w:pPr>
        <w:spacing w:after="60"/>
        <w:ind w:firstLine="567"/>
        <w:jc w:val="both"/>
      </w:pPr>
      <w:r>
        <w:rPr>
          <w:rFonts w:ascii="Arial" w:cs="Arial" w:eastAsia="Arial" w:hAnsi="Arial"/>
          <w:sz w:val="24"/>
          <w:szCs w:val="24"/>
        </w:rPr>
        <w:t xml:space="preserve">В целях эффективного использования производственных мощностей и дальнейшего развития промышленного потенциала республики будут реализованы планы мероприятий по активизации деятельности действующих предприятий, предприятий с государственной долей участия и запуску новых производств, простаивающих предприятий. Будет продолжена реализация Плана Правительства Кыргызской Республики по развитию экспорта Кыргызской Республики на 2015-2017 годы (постановление Правительства Кыргызской Республики от 31 марта 2015 года № 174), где отведена приоритетная роль развитию текстильного и швейного производства на 2015-2017 годы, формированию благоприятных условий и повышению конкурентоспособности отрасли, обеспечению занятости населения.</w:t>
      </w:r>
    </w:p>
    <w:p>
      <w:pPr>
        <w:spacing w:after="60"/>
        <w:ind w:firstLine="567"/>
        <w:jc w:val="both"/>
      </w:pPr>
      <w:r>
        <w:rPr>
          <w:rFonts w:ascii="Arial" w:cs="Arial" w:eastAsia="Arial" w:hAnsi="Arial"/>
          <w:sz w:val="24"/>
          <w:szCs w:val="24"/>
        </w:rPr>
        <w:t xml:space="preserve">Для определения долгосрочного вектора развития промышленности Кыргызской Республики в 2016 году ведется работа по разработке единой Программы индустриализации Кыргызской Республики на 2017-2020 годы, где основными направлениями развития отрасли станут обновление технологической базы отраслей промышленности; стимулирование научных исследований и разработок, направленных на создание новых технологий и материалов; обеспечение для компаний равных условий конкуренции на внутреннем и внешних рынках, а также развитие конкуренции на внутренних рынках, в том числе через поэтапное сокращение доли государства в капитале компаний; стимулирование экспорта продукции с высокой добавленной стоимостью; создание инновационной инфраструктуры для развития новых отраслей; снятие регуляторных барьеров для вывода на рынок инновационной продукции и др. Это позволит придать дополнительный импульс модернизации и диверсификации национальной экономики, снизить ее зависимость от внешней конъюнктуры. Программа также будет иметь значительный мультипликативный эффект для смежных отраслей экономики. В частности, можно ожидать возникновения дополнительных стимулов для развития сферы научно-исследовательских и опытно-конструкторских работ, для осуществления инфраструктурных проектов в сфере транспорта и связи, для развития системы образования и т.д.</w:t>
      </w:r>
    </w:p>
    <w:p>
      <w:pPr>
        <w:spacing w:after="60"/>
        <w:ind w:firstLine="567"/>
        <w:jc w:val="both"/>
      </w:pPr>
      <w:r>
        <w:rPr>
          <w:rFonts w:ascii="Arial" w:cs="Arial" w:eastAsia="Arial" w:hAnsi="Arial"/>
          <w:sz w:val="24"/>
          <w:szCs w:val="24"/>
        </w:rPr>
        <w:t xml:space="preserve">Для развития энергетики будут реализованы меры, заложенные в Среднесрочной стратегии развития электроэнергетики Кыргызской Республики на 2012-2017 годы (постановление Правительства Кыргызской Республики от 28 мая 2012 года № 330). Политика развития энергетического сектора будет сфокусирована на четырех приоритетных направлениях для осуществления реформы: совершенствование регулирования развития энергетического сектора (реформа тарифной политики, реформа энергосектора); создание условий для стимулирования энергосбережения (реформа энергосбережения); развитие возобновляемых источников энергии; устойчивое развитие энергетического сектора и соблюдение норм экологической безопасности (реформа экспортоориентированной энергетики).</w:t>
      </w:r>
    </w:p>
    <w:p>
      <w:pPr>
        <w:spacing w:after="60"/>
        <w:ind w:firstLine="567"/>
        <w:jc w:val="both"/>
      </w:pPr>
      <w:r>
        <w:rPr>
          <w:rFonts w:ascii="Arial" w:cs="Arial" w:eastAsia="Arial" w:hAnsi="Arial"/>
          <w:sz w:val="24"/>
          <w:szCs w:val="24"/>
        </w:rPr>
        <w:t xml:space="preserve">В последние годы развитие промышленности Кыргызстана характеризуется значительными колебаниями темпа роста. Во многом эти колебания обусловлены высокой зависимостью сектора от работы предприятий, разрабатывающих месторождение Кумтор (доля в промышленности около 40%), а также неустойчивой работы энергетической отрасли (доля в промышленности около 20%) из-за влияния природно-климатического фактора.</w:t>
      </w:r>
    </w:p>
    <w:p>
      <w:pPr>
        <w:spacing w:after="60"/>
        <w:ind w:firstLine="567"/>
        <w:jc w:val="both"/>
      </w:pPr>
      <w:r>
        <w:rPr>
          <w:rFonts w:ascii="Arial" w:cs="Arial" w:eastAsia="Arial" w:hAnsi="Arial"/>
          <w:sz w:val="24"/>
          <w:szCs w:val="24"/>
        </w:rPr>
        <w:t xml:space="preserve">Прогноз развития промышленности на 2017 год подготовлен с учетом следующих основных факторов и предпосылок:</w:t>
      </w:r>
    </w:p>
    <w:p>
      <w:pPr>
        <w:spacing w:after="60"/>
        <w:ind w:firstLine="567"/>
        <w:jc w:val="both"/>
      </w:pPr>
      <w:r>
        <w:rPr>
          <w:rFonts w:ascii="Arial" w:cs="Arial" w:eastAsia="Arial" w:hAnsi="Arial"/>
          <w:sz w:val="24"/>
          <w:szCs w:val="24"/>
        </w:rPr>
        <w:t xml:space="preserve">- реализация крупных инвестиционных проектов в энергетике;</w:t>
      </w:r>
    </w:p>
    <w:p>
      <w:pPr>
        <w:spacing w:after="60"/>
        <w:ind w:firstLine="567"/>
        <w:jc w:val="both"/>
      </w:pPr>
      <w:r>
        <w:rPr>
          <w:rFonts w:ascii="Arial" w:cs="Arial" w:eastAsia="Arial" w:hAnsi="Arial"/>
          <w:sz w:val="24"/>
          <w:szCs w:val="24"/>
        </w:rPr>
        <w:t xml:space="preserve">- расчеты и предполагаемые ресурсы для разработки на месторождении Кумтор, где прогнозируется снижение объемов добычи, обусловленное выходом на горизонты с меньшим содержанием золота в руде;</w:t>
      </w:r>
    </w:p>
    <w:p>
      <w:pPr>
        <w:spacing w:after="60"/>
        <w:ind w:firstLine="567"/>
        <w:jc w:val="both"/>
      </w:pPr>
      <w:r>
        <w:rPr>
          <w:rFonts w:ascii="Arial" w:cs="Arial" w:eastAsia="Arial" w:hAnsi="Arial"/>
          <w:sz w:val="24"/>
          <w:szCs w:val="24"/>
        </w:rPr>
        <w:t xml:space="preserve">- увеличение объемов добычи руды на месторождениях Бозымчак и Талды-Булак-Левобережный, наращивание объемов производства на введенных нефтеперерабатывающих предприятиях;</w:t>
      </w:r>
    </w:p>
    <w:p>
      <w:pPr>
        <w:spacing w:after="60"/>
        <w:ind w:firstLine="567"/>
        <w:jc w:val="both"/>
      </w:pPr>
      <w:r>
        <w:rPr>
          <w:rFonts w:ascii="Arial" w:cs="Arial" w:eastAsia="Arial" w:hAnsi="Arial"/>
          <w:sz w:val="24"/>
          <w:szCs w:val="24"/>
        </w:rPr>
        <w:t xml:space="preserve">- реальные перспективы для развития угольной промышленности страны на коммерческой основе, как малыми, так и крупными горнопромышленными компаниями, в основном за счет открытого способа отработки;</w:t>
      </w:r>
    </w:p>
    <w:p>
      <w:pPr>
        <w:spacing w:after="60"/>
        <w:ind w:firstLine="567"/>
        <w:jc w:val="both"/>
      </w:pPr>
      <w:r>
        <w:rPr>
          <w:rFonts w:ascii="Arial" w:cs="Arial" w:eastAsia="Arial" w:hAnsi="Arial"/>
          <w:sz w:val="24"/>
          <w:szCs w:val="24"/>
        </w:rPr>
        <w:t xml:space="preserve">- низкий уровень диверсификации производства (удельный вес 5-ти ключевых отраслей промышленности, без энергетики, составляет в среднем 70%, а на оставшиеся 14 отраслей приходится в среднем 30% промышленного производства);</w:t>
      </w:r>
    </w:p>
    <w:p>
      <w:pPr>
        <w:spacing w:after="60"/>
        <w:ind w:firstLine="567"/>
        <w:jc w:val="both"/>
      </w:pPr>
      <w:r>
        <w:rPr>
          <w:rFonts w:ascii="Arial" w:cs="Arial" w:eastAsia="Arial" w:hAnsi="Arial"/>
          <w:sz w:val="24"/>
          <w:szCs w:val="24"/>
        </w:rPr>
        <w:t xml:space="preserve">- ограниченный доступ к рынкам сбыта товаров чувствительных отраслей в условиях ЕАЭС, включая производство пищевых продуктов; швейное производство; производство строительных материалов (транспортная инфраструктура и требования технических регламентов, сертификации) и незначительные объемы производства;</w:t>
      </w:r>
    </w:p>
    <w:p>
      <w:pPr>
        <w:spacing w:after="60"/>
        <w:ind w:firstLine="567"/>
        <w:jc w:val="both"/>
      </w:pPr>
      <w:r>
        <w:rPr>
          <w:rFonts w:ascii="Arial" w:cs="Arial" w:eastAsia="Arial" w:hAnsi="Arial"/>
          <w:sz w:val="24"/>
          <w:szCs w:val="24"/>
        </w:rPr>
        <w:t xml:space="preserve">- экономическая ситуация в странах - основных торговых партнерах - Российской Федерации, Республике Казахстан (сокращение спроса, что негативно отражается на деятельности предприятий, экспортирующих продукцию на их рынки);</w:t>
      </w:r>
    </w:p>
    <w:p>
      <w:pPr>
        <w:spacing w:after="60"/>
        <w:ind w:firstLine="567"/>
        <w:jc w:val="both"/>
      </w:pPr>
      <w:r>
        <w:rPr>
          <w:rFonts w:ascii="Arial" w:cs="Arial" w:eastAsia="Arial" w:hAnsi="Arial"/>
          <w:sz w:val="24"/>
          <w:szCs w:val="24"/>
        </w:rPr>
        <w:t xml:space="preserve">- высокая зависимость от импорта сырья и комплектующих;</w:t>
      </w:r>
    </w:p>
    <w:p>
      <w:pPr>
        <w:spacing w:after="60"/>
        <w:ind w:firstLine="567"/>
        <w:jc w:val="both"/>
      </w:pPr>
      <w:r>
        <w:rPr>
          <w:rFonts w:ascii="Arial" w:cs="Arial" w:eastAsia="Arial" w:hAnsi="Arial"/>
          <w:sz w:val="24"/>
          <w:szCs w:val="24"/>
        </w:rPr>
        <w:t xml:space="preserve">- отсутствие резких скачков цен на золото (цена в пределах 1200-1250 долларов за 1 тройскую унцию).</w:t>
      </w:r>
    </w:p>
    <w:p>
      <w:pPr>
        <w:spacing w:after="60"/>
        <w:ind w:firstLine="567"/>
        <w:jc w:val="both"/>
      </w:pPr>
      <w:r>
        <w:rPr>
          <w:rFonts w:ascii="Arial" w:cs="Arial" w:eastAsia="Arial" w:hAnsi="Arial"/>
          <w:sz w:val="24"/>
          <w:szCs w:val="24"/>
        </w:rPr>
        <w:t xml:space="preserve">В результате в промышленном секторе на 2017 год прогнозируется реальный спад объемов производства, и физический объем составит 98,7%. Без учета предприятий по разработке месторождения Кумтор, реальный прирост промышленного производства прогнозируется на уровне 5,2%.</w:t>
      </w:r>
    </w:p>
    <w:p>
      <w:pPr>
        <w:spacing w:after="60" w:before="120"/>
        <w:ind w:firstLine="567"/>
        <w:jc w:val="right"/>
      </w:pPr>
      <w:r>
        <w:rPr>
          <w:rFonts w:ascii="Arial" w:cs="Arial" w:eastAsia="Arial" w:hAnsi="Arial"/>
          <w:sz w:val="24"/>
          <w:szCs w:val="24"/>
        </w:rPr>
        <w:t xml:space="preserve">Таблица 13</w:t>
      </w:r>
    </w:p>
    <w:p>
      <w:pPr>
        <w:spacing w:after="200" w:before="200"/>
        <w:jc w:val="center"/>
      </w:pPr>
      <w:r>
        <w:rPr>
          <w:rFonts w:ascii="Arial" w:cs="Arial" w:eastAsia="Arial" w:hAnsi="Arial"/>
          <w:b/>
          <w:bCs/>
          <w:sz w:val="32"/>
          <w:szCs w:val="32"/>
        </w:rPr>
        <w:t xml:space="preserve">Динамика темпов роста в отраслях промышленности, в процентах к предыдущему году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86"/>
        <w:gridCol w:w="1246"/>
        <w:gridCol w:w="1246"/>
      </w:tblGrid>
      <w:tr>
        <w:tc>
          <w:tcPr>
            <w:tcW w:type="dxa" w:w="768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w:t>
            </w:r>
          </w:p>
        </w:tc>
        <w:tc>
          <w:tcPr>
            <w:tcW w:type="dxa" w:w="12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w:t>
            </w:r>
          </w:p>
        </w:tc>
      </w:tr>
      <w:tr>
        <w:tc>
          <w:tcPr>
            <w:vMerge w:val="continue"/>
            <w:tcBorders>
              <w:top w:val="single" w:color="CBBF9E" w:sz="4"/>
              <w:left w:val="single" w:color="CBBF9E" w:sz="4"/>
              <w:bottom w:val="single" w:color="CBBF9E" w:sz="4"/>
              <w:right w:val="single" w:color="CBBF9E" w:sz="4"/>
            </w:tcBorders>
          </w:tcP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76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всего</w:t>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98,7</w:t>
            </w:r>
          </w:p>
        </w:tc>
      </w:tr>
      <w:tr>
        <w:tc>
          <w:tcPr>
            <w:tcW w:type="dxa" w:w="76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w:t>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r>
      <w:tr>
        <w:tc>
          <w:tcPr>
            <w:tcW w:type="dxa" w:w="76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6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добыча полезных ископаемых</w:t>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140,8</w:t>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r>
      <w:tr>
        <w:tc>
          <w:tcPr>
            <w:tcW w:type="dxa" w:w="76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обрабатывающие производства</w:t>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99,9</w:t>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96,9</w:t>
            </w:r>
          </w:p>
        </w:tc>
      </w:tr>
      <w:tr>
        <w:tc>
          <w:tcPr>
            <w:tcW w:type="dxa" w:w="76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обеспечение (снабжение) электроэнергией, газом, паром и кондиционированным воздухом</w:t>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76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водоснабжение, очистка, обработка отходов и получение вторичного сырья</w:t>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r>
    </w:tbl>
    <w:p>
      <w:pPr>
        <w:spacing w:after="60" w:before="120"/>
        <w:ind w:firstLine="567"/>
        <w:jc w:val="both"/>
      </w:pPr>
      <w:r>
        <w:rPr>
          <w:rFonts w:ascii="Arial" w:cs="Arial" w:eastAsia="Arial" w:hAnsi="Arial"/>
          <w:sz w:val="24"/>
          <w:szCs w:val="24"/>
        </w:rPr>
        <w:t xml:space="preserve">Отрицательный вклад в рост ВВП составит 0,49 процентного пункта, с удельным весом в общем объеме ВВП 14,3%.</w:t>
      </w:r>
    </w:p>
    <w:p>
      <w:pPr>
        <w:spacing w:after="60"/>
        <w:ind w:firstLine="567"/>
        <w:jc w:val="both"/>
      </w:pPr>
      <w:r>
        <w:rPr>
          <w:rFonts w:ascii="Arial" w:cs="Arial" w:eastAsia="Arial" w:hAnsi="Arial"/>
          <w:sz w:val="24"/>
          <w:szCs w:val="24"/>
        </w:rPr>
        <w:t xml:space="preserve">1) В обрабатывающем производстве, с самым высоким удельным весом (72,8%) в производстве промышленной продукции, прогнозируется реальное снижение на 3,1%, которое обусловлено, в основном, за счет уменьшения объемов добычи металла на месторождении Кумтор. Согласно новому техническому отчету закрытого акционерного общества "Кумтор Голд сеннее", объемы добычи на 2017 год и среднесрочный период снижены по сравнению с 2014-2015 годами из-за сокращения ранее подтвержденных и прогнозируемых запасов золота на месторождении Кумтор (на 1,6 млн. унций с конца 2013 года, после расчета переработки 731 тыс. унций в руде в 2014 году), где причинами сокращения запасов являются отрицательные показатели при сверке производственных данных в 2014 году, введение новой блочной модели для подсчета запасов, изменения в проекте Центрального карьера, с учетом возведения внутрикарьерного отвала и выполаживания некоторых бортов карьера. На месторождении Кумтор объем производства основных металлов прогнозируется в количестве 468,5-475 тыс. унций. Прогнозируется отрицательный вклад в рост ВВП, который составит 0,66 процентного пункта, с удельным весом в общем объеме ВВП 6,1%.</w:t>
      </w:r>
    </w:p>
    <w:p>
      <w:pPr>
        <w:spacing w:after="60"/>
        <w:ind w:firstLine="567"/>
        <w:jc w:val="both"/>
      </w:pPr>
      <w:r>
        <w:rPr>
          <w:rFonts w:ascii="Arial" w:cs="Arial" w:eastAsia="Arial" w:hAnsi="Arial"/>
          <w:sz w:val="24"/>
          <w:szCs w:val="24"/>
        </w:rPr>
        <w:t xml:space="preserve">Кроме этого, прогнозируется уменьшение объемов производства на открытом акционерном обществе "Кыргызалтын", где за последние годы наблюдается устойчивое снижение объемов добычи по сравнению с 2013 годом (был обеспечен наибольший объем добычи). Это связано с истощением детально разведенных промышленных запасов золота на месторождении Макмал, где полностью отработаны запасы, сосредоточенные на горизонтах штолен №№ 6 и 11. В 2017 году разработка будет только с горизонта штольни № 10, производительность добычи руды упадет практически в 3 раза, соответственно, объема руды хватит для работы 4 месяцев.</w:t>
      </w:r>
    </w:p>
    <w:p>
      <w:pPr>
        <w:spacing w:after="60"/>
        <w:ind w:firstLine="567"/>
        <w:jc w:val="both"/>
      </w:pPr>
      <w:r>
        <w:rPr>
          <w:rFonts w:ascii="Arial" w:cs="Arial" w:eastAsia="Arial" w:hAnsi="Arial"/>
          <w:sz w:val="24"/>
          <w:szCs w:val="24"/>
        </w:rPr>
        <w:t xml:space="preserve">Положительный вклад в рост ВВП обеспечат:</w:t>
      </w:r>
    </w:p>
    <w:p>
      <w:pPr>
        <w:spacing w:after="60"/>
        <w:ind w:firstLine="567"/>
        <w:jc w:val="both"/>
      </w:pPr>
      <w:r>
        <w:rPr>
          <w:rFonts w:ascii="Arial" w:cs="Arial" w:eastAsia="Arial" w:hAnsi="Arial"/>
          <w:sz w:val="24"/>
          <w:szCs w:val="24"/>
        </w:rPr>
        <w:t xml:space="preserve">- реальный рост производства продуктов (включая напитки) и табачных изделий (удельный вес в общем объеме промышленности 12%), где прогнозируется прирост на 1,0% за счет устойчивой работы предприятий по производству хлеба, муки, молочных продуктов и др. продуктов питания, спрос на которые стабильный;</w:t>
      </w:r>
    </w:p>
    <w:p>
      <w:pPr>
        <w:spacing w:after="60"/>
        <w:ind w:firstLine="567"/>
        <w:jc w:val="both"/>
      </w:pPr>
      <w:r>
        <w:rPr>
          <w:rFonts w:ascii="Arial" w:cs="Arial" w:eastAsia="Arial" w:hAnsi="Arial"/>
          <w:sz w:val="24"/>
          <w:szCs w:val="24"/>
        </w:rPr>
        <w:t xml:space="preserve">- увеличение производства кокса и очищенных нефтепродуктов на 18,5% за счет наращивания мощностей нефтеперерабатывающих заводов в городах Кара-Балта и Токмок;</w:t>
      </w:r>
    </w:p>
    <w:p>
      <w:pPr>
        <w:spacing w:after="60"/>
        <w:ind w:firstLine="567"/>
        <w:jc w:val="both"/>
      </w:pPr>
      <w:r>
        <w:rPr>
          <w:rFonts w:ascii="Arial" w:cs="Arial" w:eastAsia="Arial" w:hAnsi="Arial"/>
          <w:sz w:val="24"/>
          <w:szCs w:val="24"/>
        </w:rPr>
        <w:t xml:space="preserve">- производство резиновых и пластмассовых изделий, прочих неметаллических минеральных продуктов (рост на 1,7%), удельный вес в общем объеме промышленности которого составит 7,6% за счет: (а) обеспечения стабильной работы общества с ограниченной ответственностью "Интергласс", где объем производства листового стекла возрастет на 13,3% по сравнению с 2016 годом и достигнет 17 млн. с.м; (б) рост; производства цемента и асбестоцементных изделий прогнозируется за счет развития мощностей закрытого, акционерного общества "Южно-Кыргызский Цемент", общества с ограниченной ответственностью "Южный комбинат строительных материалов", открытого акционерного общества "Кантский цементный завод", общества с ограниченной ответственностью "Ак-Сай Цемент", что позволит полностью покрыть потребность внутреннего рынка в цементе. Состояние и перспективы развития производства прочих неметаллических минеральных продуктов в большей степени определяются развитием строительного сектора и экспортными возможностями цементного и стекольного производства;</w:t>
      </w:r>
    </w:p>
    <w:p>
      <w:pPr>
        <w:spacing w:after="60"/>
        <w:ind w:firstLine="567"/>
        <w:jc w:val="both"/>
      </w:pPr>
      <w:r>
        <w:rPr>
          <w:rFonts w:ascii="Arial" w:cs="Arial" w:eastAsia="Arial" w:hAnsi="Arial"/>
          <w:sz w:val="24"/>
          <w:szCs w:val="24"/>
        </w:rPr>
        <w:t xml:space="preserve">- текстильное производство; производство одежды и обуви, кожи и прочих кожаных изделий (удельный вес в общем объеме промышленности - 2,7%), где прогнозируется реальный прирост на 2,0% за счет ожидаемого восстановления производства одежды после существенного спада в 2013-2016 годах. Прогноз умеренного роста обусловлен возможными рисками при экспорте товаров в условиях функционирования Кыргызской Республики в ЕАЭС;</w:t>
      </w:r>
    </w:p>
    <w:p>
      <w:pPr>
        <w:spacing w:after="60"/>
        <w:ind w:firstLine="567"/>
        <w:jc w:val="both"/>
      </w:pPr>
      <w:r>
        <w:rPr>
          <w:rFonts w:ascii="Arial" w:cs="Arial" w:eastAsia="Arial" w:hAnsi="Arial"/>
          <w:sz w:val="24"/>
          <w:szCs w:val="24"/>
        </w:rPr>
        <w:t xml:space="preserve">- производство готовых металлических изделий за счет повышения технологического уровня и качества выпускаемой продукции предприятиями данной отрасли, улучшения маркетинговой службы, увеличения объемов платных услуг населению; реализации контрактов по поставкам спецпродукции в Индию открытого акционерного общества "Транснациональная Корпорация "Дастан", потребителям государств-участников СНГ и дальнего зарубежья государственным предприятием "Бишкекский штамповочный завод"; поставки медицинской техники (центрифуг) открытым акционерным обществом "Транснациональная Корпорация "Дастан" в государства-участники СНГ; роста экспортных поставок тракторных прицепов (открытое акционерное общество "Автосборочный завод") в Республику Казахстан; изготовления и поставка специального и технологического оборудования, приборов автоматического контроля, узлов и деталей для технологического оборудования открытого акционерного общества "Бишкекский машиностроительный завод" и государственного предприятия "Бишкекский штамповочный завод" открытым акционерным обществом "Тульский патронный завод", открытым акционерным обществом "Новосибирский патронный завод", закрытым акционерным обществом "Барнаульский патронный завод", открытым акционерным обществом "Конструкторское бюро автоматических линий им.Л.H.Кошкина" (город Климовск).</w:t>
      </w:r>
    </w:p>
    <w:p>
      <w:pPr>
        <w:spacing w:after="60"/>
        <w:ind w:firstLine="567"/>
        <w:jc w:val="both"/>
      </w:pPr>
      <w:r>
        <w:rPr>
          <w:rFonts w:ascii="Arial" w:cs="Arial" w:eastAsia="Arial" w:hAnsi="Arial"/>
          <w:sz w:val="24"/>
          <w:szCs w:val="24"/>
        </w:rPr>
        <w:t xml:space="preserve">Кроме того, прогнозируется устойчивая работа предприятий по производству электрического оборудования (прирост на 1,6%), производства деревянных и бумажных изделий; полиграфической деятельности (на 3,0%), производства фармацевтической продукции (на 4,0%) и т.д.</w:t>
      </w:r>
    </w:p>
    <w:p>
      <w:pPr>
        <w:spacing w:after="60"/>
        <w:ind w:firstLine="567"/>
        <w:jc w:val="both"/>
      </w:pPr>
      <w:r>
        <w:rPr>
          <w:rFonts w:ascii="Arial" w:cs="Arial" w:eastAsia="Arial" w:hAnsi="Arial"/>
          <w:sz w:val="24"/>
          <w:szCs w:val="24"/>
        </w:rPr>
        <w:t xml:space="preserve">2) В добыче полезных ископаемых (удельный вес 6,5% в объеме промышленного производства) в 2017 году прирост объема производства прогнозируется на уровне 4,8%. Добыча каменного и бурого угля увеличится на 5,3%, металлических руд - на 6,7%, прочих полезных ископаемых - на 2,4%.</w:t>
      </w:r>
    </w:p>
    <w:p>
      <w:pPr>
        <w:spacing w:after="60"/>
        <w:ind w:firstLine="567"/>
        <w:jc w:val="both"/>
      </w:pPr>
      <w:r>
        <w:rPr>
          <w:rFonts w:ascii="Arial" w:cs="Arial" w:eastAsia="Arial" w:hAnsi="Arial"/>
          <w:sz w:val="24"/>
          <w:szCs w:val="24"/>
        </w:rPr>
        <w:t xml:space="preserve">Прогнозируемый объем производства в данной отрасли ожидается за счет: осуществления запланированных технологических мер государственного предприятия "Кыргызкомур"; сохранения достигнутых объемов реализации кыргызских углей на внутреннем рынке при прохождении сеннее-зимнего периода с наращиванием поставок кыргызских углей на ТЭЦ города Бишкек; осуществления запланированных мероприятий открытым акционерным обществом "Кыргызнефтегаз" и привлечения инвесторов для ввода простаивающих эксплуатационных скважин, с разделом продукции; наращивания объемов добычи руды на месторождении Бозымчак, Иштамберди, Кара-Казык.</w:t>
      </w:r>
    </w:p>
    <w:p>
      <w:pPr>
        <w:spacing w:after="60"/>
        <w:ind w:firstLine="567"/>
        <w:jc w:val="both"/>
      </w:pPr>
      <w:r>
        <w:rPr>
          <w:rFonts w:ascii="Arial" w:cs="Arial" w:eastAsia="Arial" w:hAnsi="Arial"/>
          <w:sz w:val="24"/>
          <w:szCs w:val="24"/>
        </w:rPr>
        <w:t xml:space="preserve">3) В обеспечении (снабжении) электроэнергией, газом, паром и кондиционированным воздухом (удельный вес 19,7%) на 2017 год прогнозируется прирост объемов на 3,9%.</w:t>
      </w:r>
    </w:p>
    <w:p>
      <w:pPr>
        <w:spacing w:after="60"/>
        <w:ind w:firstLine="567"/>
        <w:jc w:val="both"/>
      </w:pPr>
      <w:r>
        <w:rPr>
          <w:rFonts w:ascii="Arial" w:cs="Arial" w:eastAsia="Arial" w:hAnsi="Arial"/>
          <w:sz w:val="24"/>
          <w:szCs w:val="24"/>
        </w:rPr>
        <w:t xml:space="preserve">При расчете прогнозных показателей предусмотрен рост внутреннего потребления электроэнергии по представленным прогнозным заявкам РЭКов, увеличение выработки электроэнергии на ТЭЦ города Бишкек с 2017 года в связи с завершением реконструкции станции и импорта электроэнергии в целях недопущения глубокой сработки Токтогульского водохранилища.</w:t>
      </w:r>
    </w:p>
    <w:p>
      <w:pPr>
        <w:spacing w:after="60"/>
        <w:ind w:firstLine="567"/>
        <w:jc w:val="both"/>
      </w:pPr>
      <w:r>
        <w:rPr>
          <w:rFonts w:ascii="Arial" w:cs="Arial" w:eastAsia="Arial" w:hAnsi="Arial"/>
          <w:sz w:val="24"/>
          <w:szCs w:val="24"/>
        </w:rPr>
        <w:t xml:space="preserve">Выработка электроэнергии прогнозируется на уровне 13698,3 млн. кВт.ч, что больше на 646,2 млн. кВт.ч по сравнению с 2016 годом, которая рассчитана с учетом среднемноголетней приточности реки Нарын в створе Токтогульского гидроузла. При этом выработка на ТЭЦ города Бишкек составит 2406,1 млн. кВт.ч и возрастает на 507,8 млн. кВт.ч, по сравнению с 2016 годом, за счет ввода первого энергоблока в связи с модернизаций ТЭЦ города Бишкек.</w:t>
      </w:r>
    </w:p>
    <w:p>
      <w:pPr>
        <w:spacing w:after="60"/>
        <w:ind w:firstLine="567"/>
        <w:jc w:val="both"/>
      </w:pPr>
      <w:r>
        <w:rPr>
          <w:rFonts w:ascii="Arial" w:cs="Arial" w:eastAsia="Arial" w:hAnsi="Arial"/>
          <w:sz w:val="24"/>
          <w:szCs w:val="24"/>
        </w:rPr>
        <w:t xml:space="preserve">Исходя из необходимости сохранения и накопления водно-энергетических ресурсов, в целях более рационального использования Токтогульского водохранилища многолетнего регулирования, а также удовлетворения потребления электроэнергии на внутреннем рынке в 2017 году предусмотрен импорт электроэнергии в объеме 1 350,0 млн. кВт.ч.</w:t>
      </w:r>
    </w:p>
    <w:p>
      <w:pPr>
        <w:spacing w:after="60"/>
        <w:ind w:firstLine="567"/>
        <w:jc w:val="both"/>
      </w:pPr>
      <w:r>
        <w:rPr>
          <w:rFonts w:ascii="Arial" w:cs="Arial" w:eastAsia="Arial" w:hAnsi="Arial"/>
          <w:sz w:val="24"/>
          <w:szCs w:val="24"/>
        </w:rPr>
        <w:t xml:space="preserve">Для обеспечения устойчивой работы энергетической отрасли в 2017 году запланировано:</w:t>
      </w:r>
    </w:p>
    <w:p>
      <w:pPr>
        <w:spacing w:after="60"/>
        <w:ind w:firstLine="567"/>
        <w:jc w:val="both"/>
      </w:pPr>
      <w:r>
        <w:rPr>
          <w:rFonts w:ascii="Arial" w:cs="Arial" w:eastAsia="Arial" w:hAnsi="Arial"/>
          <w:sz w:val="24"/>
          <w:szCs w:val="24"/>
        </w:rPr>
        <w:t xml:space="preserve">- завершение реконструкции ТЭЦ города Бишкек, результатом которой станет увеличение мощности на 300 МВт, с дополнительной выработкой 1950 млн. кВт.ч, и использование кыргызских углей, что позволит заменить износившееся оборудование, введенное 50 лет назад, для создания базовой, гарантированной электрической мощности, неподверженной водным режимам;</w:t>
      </w:r>
    </w:p>
    <w:p>
      <w:pPr>
        <w:spacing w:after="60"/>
        <w:ind w:firstLine="567"/>
        <w:jc w:val="both"/>
      </w:pPr>
      <w:r>
        <w:rPr>
          <w:rFonts w:ascii="Arial" w:cs="Arial" w:eastAsia="Arial" w:hAnsi="Arial"/>
          <w:sz w:val="24"/>
          <w:szCs w:val="24"/>
        </w:rPr>
        <w:t xml:space="preserve">- строительство 2-ой очереди подстанции 110/35/10 кВ Кун-Туу с установкой Т-2 мощностью 25 MBA;</w:t>
      </w:r>
    </w:p>
    <w:p>
      <w:pPr>
        <w:spacing w:after="60"/>
        <w:ind w:firstLine="567"/>
        <w:jc w:val="both"/>
      </w:pPr>
      <w:r>
        <w:rPr>
          <w:rFonts w:ascii="Arial" w:cs="Arial" w:eastAsia="Arial" w:hAnsi="Arial"/>
          <w:sz w:val="24"/>
          <w:szCs w:val="24"/>
        </w:rPr>
        <w:t xml:space="preserve">- строительство высоковольтной линии - 110 кВ протяженностью 50 км от ВЛ 110 кВ "Айгул-Таш-Самат" до проектируемой ПС 110/10 кВ Раззакова. (Проект "Улучшение электроснабжения Армянского массива Лейлекского района Баткенской области", финансируемый Исламским банков развития);</w:t>
      </w:r>
    </w:p>
    <w:p>
      <w:pPr>
        <w:spacing w:after="60"/>
        <w:ind w:firstLine="567"/>
        <w:jc w:val="both"/>
      </w:pPr>
      <w:r>
        <w:rPr>
          <w:rFonts w:ascii="Arial" w:cs="Arial" w:eastAsia="Arial" w:hAnsi="Arial"/>
          <w:sz w:val="24"/>
          <w:szCs w:val="24"/>
        </w:rPr>
        <w:t xml:space="preserve">- строительство подстанции 110/10 кВ "Раззакова" с установкой трансформатора мощностью 16 MBA (Проект "Улучшение электроснабжения Аркинского массива Лейлекского района Баткенской области", финансируемый Исламским банков развития);</w:t>
      </w:r>
    </w:p>
    <w:p>
      <w:pPr>
        <w:spacing w:after="60"/>
        <w:ind w:firstLine="567"/>
        <w:jc w:val="both"/>
      </w:pPr>
      <w:r>
        <w:rPr>
          <w:rFonts w:ascii="Arial" w:cs="Arial" w:eastAsia="Arial" w:hAnsi="Arial"/>
          <w:sz w:val="24"/>
          <w:szCs w:val="24"/>
        </w:rPr>
        <w:t xml:space="preserve">- строительство 2-ой очереди подстанции 110/35/10 кВ "Уч-Терек" с установкой Т-2 мощностью 10 MBA;</w:t>
      </w:r>
    </w:p>
    <w:p>
      <w:pPr>
        <w:spacing w:after="60"/>
        <w:ind w:firstLine="567"/>
        <w:jc w:val="both"/>
      </w:pPr>
      <w:r>
        <w:rPr>
          <w:rFonts w:ascii="Arial" w:cs="Arial" w:eastAsia="Arial" w:hAnsi="Arial"/>
          <w:sz w:val="24"/>
          <w:szCs w:val="24"/>
        </w:rPr>
        <w:t xml:space="preserve">- реконструкция подстанции 110 кВ "Парковая" с заменой трансформатора Т-1 мощностью 16 MBA на 40 MBA;</w:t>
      </w:r>
    </w:p>
    <w:p>
      <w:pPr>
        <w:spacing w:after="60"/>
        <w:ind w:firstLine="567"/>
        <w:jc w:val="both"/>
      </w:pPr>
      <w:r>
        <w:rPr>
          <w:rFonts w:ascii="Arial" w:cs="Arial" w:eastAsia="Arial" w:hAnsi="Arial"/>
          <w:sz w:val="24"/>
          <w:szCs w:val="24"/>
        </w:rPr>
        <w:t xml:space="preserve">- реконструкция высоковольтной линии с заменой провода на большее сечение, изоляторов, сцепной арматуры и ремонта опор на высоковольтной линии двухцепной высоковольтной линии 110 кВ "Ала-Арча-Парковая" 1,2 АС-185 на АС-240 (2,62 км);</w:t>
      </w:r>
    </w:p>
    <w:p>
      <w:pPr>
        <w:spacing w:after="60"/>
        <w:ind w:firstLine="567"/>
        <w:jc w:val="both"/>
      </w:pPr>
      <w:r>
        <w:rPr>
          <w:rFonts w:ascii="Arial" w:cs="Arial" w:eastAsia="Arial" w:hAnsi="Arial"/>
          <w:sz w:val="24"/>
          <w:szCs w:val="24"/>
        </w:rPr>
        <w:t xml:space="preserve">- реконструкция высоковольтной линии с заменой провода на большее сечение, изоляторов, сцепной арматуры и ремонта опор на высоковольтной линии 110 кВ "Кызыл-Аскер-Манас" отпайка на подстанции "Кун-Туу" (6,4 км);</w:t>
      </w:r>
    </w:p>
    <w:p>
      <w:pPr>
        <w:spacing w:after="60"/>
        <w:ind w:firstLine="567"/>
        <w:jc w:val="both"/>
      </w:pPr>
      <w:r>
        <w:rPr>
          <w:rFonts w:ascii="Arial" w:cs="Arial" w:eastAsia="Arial" w:hAnsi="Arial"/>
          <w:sz w:val="24"/>
          <w:szCs w:val="24"/>
        </w:rPr>
        <w:t xml:space="preserve">- реконструкция высоковольтной линии с заменой провода на большее сечение, изоляторов, сцепной арматуры и ремонта опор на высоковольтной линии 110 кВ "Ала-Арча - Ново-Южная" (3,5 км);</w:t>
      </w:r>
    </w:p>
    <w:p>
      <w:pPr>
        <w:spacing w:after="60"/>
        <w:ind w:firstLine="567"/>
        <w:jc w:val="both"/>
      </w:pPr>
      <w:r>
        <w:rPr>
          <w:rFonts w:ascii="Arial" w:cs="Arial" w:eastAsia="Arial" w:hAnsi="Arial"/>
          <w:sz w:val="24"/>
          <w:szCs w:val="24"/>
        </w:rPr>
        <w:t xml:space="preserve">- реконструкция высоковольтной линии с заменой провода на большее сечение, изоляторов, сцепной арматуры и ремонта опор на высоковольтной линии 110 кВ "Ботбаева-Манас" (32,4 км);</w:t>
      </w:r>
    </w:p>
    <w:p>
      <w:pPr>
        <w:spacing w:after="60"/>
        <w:ind w:firstLine="567"/>
        <w:jc w:val="both"/>
      </w:pPr>
      <w:r>
        <w:rPr>
          <w:rFonts w:ascii="Arial" w:cs="Arial" w:eastAsia="Arial" w:hAnsi="Arial"/>
          <w:sz w:val="24"/>
          <w:szCs w:val="24"/>
        </w:rPr>
        <w:t xml:space="preserve">- установка двух батарей статических конденсаторов по 20 МВАР на Иссык-Кульском предприятии высоковольтных электрических сетей;</w:t>
      </w:r>
    </w:p>
    <w:p>
      <w:pPr>
        <w:spacing w:after="60"/>
        <w:ind w:firstLine="567"/>
        <w:jc w:val="both"/>
      </w:pPr>
      <w:r>
        <w:rPr>
          <w:rFonts w:ascii="Arial" w:cs="Arial" w:eastAsia="Arial" w:hAnsi="Arial"/>
          <w:sz w:val="24"/>
          <w:szCs w:val="24"/>
        </w:rPr>
        <w:t xml:space="preserve">- реконструкция высоковольтной линии с заменой провода на большее сечение, изоляторов, сцепной арматуры и ремонта опор на высоковольтной линии 110 кВ "Торобаева-Жалал-Абад" 1 (10,3 км);</w:t>
      </w:r>
    </w:p>
    <w:p>
      <w:pPr>
        <w:spacing w:after="60"/>
        <w:ind w:firstLine="567"/>
        <w:jc w:val="both"/>
      </w:pPr>
      <w:r>
        <w:rPr>
          <w:rFonts w:ascii="Arial" w:cs="Arial" w:eastAsia="Arial" w:hAnsi="Arial"/>
          <w:sz w:val="24"/>
          <w:szCs w:val="24"/>
        </w:rPr>
        <w:t xml:space="preserve">- реконструкция подстанции 110/35/10 кВ "Арка" с установкой трансформатора мощностью 16 MBA (Проект "Улучшение электроснабжения Аркинского массива Лейлекского района Баткенской области", финансируемый Исламским банков развития).</w:t>
      </w:r>
    </w:p>
    <w:p>
      <w:pPr>
        <w:spacing w:after="60"/>
        <w:ind w:firstLine="567"/>
        <w:jc w:val="both"/>
      </w:pPr>
      <w:r>
        <w:rPr>
          <w:rFonts w:ascii="Arial" w:cs="Arial" w:eastAsia="Arial" w:hAnsi="Arial"/>
          <w:sz w:val="24"/>
          <w:szCs w:val="24"/>
        </w:rPr>
        <w:t xml:space="preserve">Всего на инвестиционные проекты будут направлены 32,3 млн. долл. США.</w:t>
      </w:r>
    </w:p>
    <w:p>
      <w:pPr>
        <w:spacing w:after="60"/>
        <w:ind w:firstLine="567"/>
        <w:jc w:val="both"/>
      </w:pPr>
      <w:r>
        <w:rPr>
          <w:rFonts w:ascii="Arial" w:cs="Arial" w:eastAsia="Arial" w:hAnsi="Arial"/>
          <w:sz w:val="24"/>
          <w:szCs w:val="24"/>
        </w:rPr>
        <w:t xml:space="preserve">Разработанная открытым акционерным обществом "Газпром" (Российская Федерация) Генеральная схема газоснабжения и газификации Кыргызской Республики до 2030 года предусматривает масштабную реконструкцию и модернизацию газотранспортных маршрутов Кыргызской Республики, а также объектов подземного хранения и распределения газа. В рамках Генеральной схемы будут созданы мощности для транспортировки газа на юг республики и автономной газификации отдельных районов страны. Инвестиционная программа дочерней компании "Газпром Кыргызстан" в 2015-2017 годы составит 35 млрд. рублей.</w:t>
      </w:r>
    </w:p>
    <w:p>
      <w:pPr>
        <w:spacing w:after="60"/>
        <w:ind w:firstLine="567"/>
        <w:jc w:val="both"/>
      </w:pPr>
      <w:r>
        <w:rPr>
          <w:rFonts w:ascii="Arial" w:cs="Arial" w:eastAsia="Arial" w:hAnsi="Arial"/>
          <w:sz w:val="24"/>
          <w:szCs w:val="24"/>
        </w:rPr>
        <w:t xml:space="preserve">Всего в 2017 году поступление природного газа в Кыргызскую Республику прогнозируется в объеме 404 млн. м</w:t>
      </w:r>
      <w:r>
        <w:rPr>
          <w:rFonts w:ascii="Arial" w:cs="Arial" w:eastAsia="Arial" w:hAnsi="Arial"/>
          <w:sz w:val="24"/>
          <w:szCs w:val="24"/>
        </w:rPr>
        <w:t xml:space="preserve">3</w:t>
      </w:r>
      <w:r>
        <w:rPr>
          <w:rFonts w:ascii="Arial" w:cs="Arial" w:eastAsia="Arial" w:hAnsi="Arial"/>
          <w:sz w:val="24"/>
          <w:szCs w:val="24"/>
        </w:rPr>
        <w:t xml:space="preserve">, что на 13,2% больше по сравнению с 2016 годом, которое позволит увеличить объем услуг распределения газообразного топлива через системы газоснабжения на 5,5%.</w:t>
      </w:r>
    </w:p>
    <w:p>
      <w:pPr>
        <w:spacing w:after="60"/>
        <w:ind w:firstLine="567"/>
        <w:jc w:val="both"/>
      </w:pPr>
      <w:r>
        <w:rPr>
          <w:rFonts w:ascii="Arial" w:cs="Arial" w:eastAsia="Arial" w:hAnsi="Arial"/>
          <w:sz w:val="24"/>
          <w:szCs w:val="24"/>
        </w:rPr>
        <w:t xml:space="preserve">4) Водоснабжение, очистка, обработка отходов и получение вторичного сырья в структуре промышленности занимают незначительный удельный вес (1,0%), прогнозируется реальный рост на уровне 4,9% за счет сбора, обработки и распределения воды (водоснабжение) (рост на 4%), сбора, обработки и уничтожения отходов, получения вторичного сырья (на 5%) и проведения обеззараживания и прочей обработки отходов (на 8%).</w:t>
      </w:r>
    </w:p>
    <w:p>
      <w:pPr>
        <w:spacing w:after="60"/>
        <w:ind w:firstLine="567"/>
        <w:jc w:val="both"/>
      </w:pPr>
      <w:r>
        <w:rPr>
          <w:rFonts w:ascii="Arial" w:cs="Arial" w:eastAsia="Arial" w:hAnsi="Arial"/>
          <w:sz w:val="24"/>
          <w:szCs w:val="24"/>
        </w:rPr>
        <w:t xml:space="preserve">Рост физического объема промышленной продукции прогнозируется достичь во всех регионах республики, кроме Иссык-Кульской области (90,1%), что обусловлено снижением объемов производства на месторождении Кумтор. Основной вклад в объем промышленного производства традиционно внесут: Чуйская (40,44%), Иссык-Кульская (21,53%), Джалал-Абадская (10,98%) области и город Бишкек (18,45%), суммарная доля которых составит 91,4%. В Чуйской области рост объемов производства промышленной продукции прогнозируется за счет наращивания объемов производства на нефтеперерабатывающем заводе "Джунда" и нефтеперерабатывающем заводе в городе Токмок, в Джалал-Абадской области - за счет наращивания объемов добычи на месторождении Бозымчак и восстановления объемов производства электроэнергии.</w:t>
      </w:r>
    </w:p>
    <w:p>
      <w:pPr>
        <w:spacing w:after="60"/>
        <w:ind w:firstLine="567"/>
        <w:jc w:val="both"/>
      </w:pPr>
      <w:r>
        <w:rPr>
          <w:rFonts w:ascii="Arial" w:cs="Arial" w:eastAsia="Arial" w:hAnsi="Arial"/>
          <w:sz w:val="24"/>
          <w:szCs w:val="24"/>
        </w:rPr>
        <w:t xml:space="preserve">Для достижения прогнозируемых показателей будут решены следующие задачи:</w:t>
      </w:r>
    </w:p>
    <w:p>
      <w:pPr>
        <w:spacing w:after="60"/>
        <w:ind w:firstLine="567"/>
        <w:jc w:val="both"/>
      </w:pPr>
      <w:r>
        <w:rPr>
          <w:rFonts w:ascii="Arial" w:cs="Arial" w:eastAsia="Arial" w:hAnsi="Arial"/>
          <w:sz w:val="24"/>
          <w:szCs w:val="24"/>
        </w:rPr>
        <w:t xml:space="preserve">- рациональное размещение предприятий, обеспечивающих баланс спроса и предложения;</w:t>
      </w:r>
    </w:p>
    <w:p>
      <w:pPr>
        <w:spacing w:after="60"/>
        <w:ind w:firstLine="567"/>
        <w:jc w:val="both"/>
      </w:pPr>
      <w:r>
        <w:rPr>
          <w:rFonts w:ascii="Arial" w:cs="Arial" w:eastAsia="Arial" w:hAnsi="Arial"/>
          <w:sz w:val="24"/>
          <w:szCs w:val="24"/>
        </w:rPr>
        <w:t xml:space="preserve">- создание комфортных, конкурентных и побудительных условий для новых производств, проведение технологического перевооружения и модернизации основных фондов отрасли; защита предприятий отрасли, реализующих инвестиционные проекты и развивающих высокотехнологичные производства, от воздействия внешних экономических рисков;</w:t>
      </w:r>
    </w:p>
    <w:p>
      <w:pPr>
        <w:spacing w:after="60"/>
        <w:ind w:firstLine="567"/>
        <w:jc w:val="both"/>
      </w:pPr>
      <w:r>
        <w:rPr>
          <w:rFonts w:ascii="Arial" w:cs="Arial" w:eastAsia="Arial" w:hAnsi="Arial"/>
          <w:sz w:val="24"/>
          <w:szCs w:val="24"/>
        </w:rPr>
        <w:t xml:space="preserve">- поддержка внедрения современных инновационных технологий с целью освоения производства новой инновационной продукции; мотивация к снижению негативного воздействия на окружающую среду, в том числе путем внедрения наилучших доступных технологий; стимулирование внутреннего спроса на продукцию и создание новых рыночных ниш;</w:t>
      </w:r>
    </w:p>
    <w:p>
      <w:pPr>
        <w:spacing w:after="60"/>
        <w:ind w:firstLine="567"/>
        <w:jc w:val="both"/>
      </w:pPr>
      <w:r>
        <w:rPr>
          <w:rFonts w:ascii="Arial" w:cs="Arial" w:eastAsia="Arial" w:hAnsi="Arial"/>
          <w:sz w:val="24"/>
          <w:szCs w:val="24"/>
        </w:rPr>
        <w:t xml:space="preserve">- проведение импортозамещения за счет развития отечественной производственной базы; укрепление кадрового потенциала и поддержка профильного образования;</w:t>
      </w:r>
    </w:p>
    <w:p>
      <w:pPr>
        <w:spacing w:after="60"/>
        <w:ind w:firstLine="567"/>
        <w:jc w:val="both"/>
      </w:pPr>
      <w:r>
        <w:rPr>
          <w:rFonts w:ascii="Arial" w:cs="Arial" w:eastAsia="Arial" w:hAnsi="Arial"/>
          <w:sz w:val="24"/>
          <w:szCs w:val="24"/>
        </w:rPr>
        <w:t xml:space="preserve">- совершенствование технического регулирования и выработка мер поддержки экспортно-ориентированных производств;</w:t>
      </w:r>
    </w:p>
    <w:p>
      <w:pPr>
        <w:spacing w:after="60"/>
        <w:ind w:firstLine="567"/>
        <w:jc w:val="both"/>
      </w:pPr>
      <w:r>
        <w:rPr>
          <w:rFonts w:ascii="Arial" w:cs="Arial" w:eastAsia="Arial" w:hAnsi="Arial"/>
          <w:sz w:val="24"/>
          <w:szCs w:val="24"/>
        </w:rPr>
        <w:t xml:space="preserve">- повышение качества государственного регулирования при проведении промышленной политики.</w:t>
      </w:r>
    </w:p>
    <w:p>
      <w:pPr>
        <w:spacing w:after="60"/>
        <w:ind w:firstLine="567"/>
        <w:jc w:val="both"/>
      </w:pPr>
      <w:r>
        <w:rPr>
          <w:rFonts w:ascii="Arial" w:cs="Arial" w:eastAsia="Arial" w:hAnsi="Arial"/>
          <w:sz w:val="24"/>
          <w:szCs w:val="24"/>
        </w:rPr>
        <w:t xml:space="preserve">Возможными рисками являются: инвестиционная непривлекательность предприятий промышленного сектора из-за непредсказуемости бизнес-среды (конфликты местного населения с инвесторами, отсталые технологии, низкий уровень рентабельности, процедуры предоставления земельных участков под недропользование, оформление документов усложнены и требуют многочисленных согласований, экспертиз и т.д.); перебои в подаче электроэнергии; несвоевременный ввод запланированных месторождений, сокращение производства на руднике Кумтор из-за техногенных факторов; необеспеченность сырьем введенных нефтеперерабатывающих предприятий; недостаток квалифицированных кадров технических специальностей; неэффективный менеджмент и недостаток оборотных средств; медленная адаптация к новым условиям при экспорте/импорте товаров в рамках функционирования Кыргызской Республики в ЕАЭС и т.д.</w:t>
      </w:r>
    </w:p>
    <w:p>
      <w:pPr>
        <w:spacing w:after="60" w:before="200"/>
        <w:ind w:firstLine="567"/>
        <w:jc w:val="left"/>
      </w:pPr>
      <w:r>
        <w:rPr>
          <w:rFonts w:ascii="Arial" w:cs="Arial" w:eastAsia="Arial" w:hAnsi="Arial"/>
          <w:b/>
          <w:bCs/>
          <w:sz w:val="24"/>
          <w:szCs w:val="24"/>
        </w:rPr>
        <w:t xml:space="preserve">5.9.3. Строительство</w:t>
      </w:r>
    </w:p>
    <w:p>
      <w:pPr>
        <w:spacing w:after="60"/>
        <w:ind w:firstLine="567"/>
        <w:jc w:val="both"/>
      </w:pPr>
      <w:r>
        <w:rPr>
          <w:rFonts w:ascii="Arial" w:cs="Arial" w:eastAsia="Arial" w:hAnsi="Arial"/>
          <w:sz w:val="24"/>
          <w:szCs w:val="24"/>
        </w:rPr>
        <w:t xml:space="preserve">В 2017 году развитие строительного сектора экономики станет одним из значимых направлений, обеспечивающих устойчивый рост национальной экономики за счет реализации крупных инвестиционных проектов, заложенных в Программе по переходу Кыргызской Республики к устойчивому развитию на 2013-2017 годы (постановление Жогорку Кенеша Кыргызской Республики от 18 декабря 2013 года № 3694-V).</w:t>
      </w:r>
    </w:p>
    <w:p>
      <w:pPr>
        <w:spacing w:after="60"/>
        <w:ind w:firstLine="567"/>
        <w:jc w:val="both"/>
      </w:pPr>
      <w:r>
        <w:rPr>
          <w:rFonts w:ascii="Arial" w:cs="Arial" w:eastAsia="Arial" w:hAnsi="Arial"/>
          <w:sz w:val="24"/>
          <w:szCs w:val="24"/>
        </w:rPr>
        <w:t xml:space="preserve">В результате принятия комплексных мер развития в строительном комплексе страны в 2017 году прогнозируется увеличение капитальных вложений на 10,8%, объемы составят 156,6 млрд. сомов.</w:t>
      </w:r>
    </w:p>
    <w:p>
      <w:pPr>
        <w:spacing w:after="60" w:before="120"/>
        <w:ind w:firstLine="567"/>
        <w:jc w:val="right"/>
      </w:pPr>
      <w:r>
        <w:rPr>
          <w:rFonts w:ascii="Arial" w:cs="Arial" w:eastAsia="Arial" w:hAnsi="Arial"/>
          <w:sz w:val="24"/>
          <w:szCs w:val="24"/>
        </w:rPr>
        <w:t xml:space="preserve">Таблица 14</w:t>
      </w:r>
    </w:p>
    <w:p>
      <w:pPr>
        <w:spacing w:after="200" w:before="200"/>
        <w:jc w:val="center"/>
      </w:pPr>
      <w:r>
        <w:rPr>
          <w:rFonts w:ascii="Arial" w:cs="Arial" w:eastAsia="Arial" w:hAnsi="Arial"/>
          <w:b/>
          <w:bCs/>
          <w:sz w:val="32"/>
          <w:szCs w:val="32"/>
        </w:rPr>
        <w:t xml:space="preserve">Динамика темпов роста в строительной отрасли на 2016-2017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43"/>
        <w:gridCol w:w="1359"/>
        <w:gridCol w:w="1359"/>
        <w:gridCol w:w="1359"/>
        <w:gridCol w:w="1359"/>
      </w:tblGrid>
      <w:tr>
        <w:tc>
          <w:tcPr>
            <w:tcW w:type="dxa" w:w="474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271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ожид.</w:t>
            </w:r>
          </w:p>
        </w:tc>
        <w:tc>
          <w:tcPr>
            <w:tcW w:type="dxa" w:w="271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прогноз</w:t>
            </w:r>
          </w:p>
        </w:tc>
      </w:tr>
      <w:tr>
        <w:tc>
          <w:tcPr>
            <w:vMerge w:val="continue"/>
            <w:tcBorders>
              <w:top w:val="single" w:color="CBBF9E" w:sz="4"/>
              <w:left w:val="single" w:color="CBBF9E" w:sz="4"/>
              <w:bottom w:val="single" w:color="CBBF9E" w:sz="4"/>
              <w:right w:val="single" w:color="CBBF9E" w:sz="4"/>
            </w:tcBorders>
          </w:tcP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Инвестиции в основной капитал</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137018,1</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110,7</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156645,9</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инвестиции</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79040,5</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87152,7</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инвестиции</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57977,6</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110.9</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69493,2</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116,2</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строительства</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129037,3</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147585,7</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w:t>
            </w:r>
          </w:p>
        </w:tc>
      </w:tr>
    </w:tbl>
    <w:p>
      <w:pPr>
        <w:spacing w:after="60" w:before="120"/>
        <w:ind w:firstLine="567"/>
        <w:jc w:val="both"/>
      </w:pPr>
      <w:r>
        <w:rPr>
          <w:rFonts w:ascii="Arial" w:cs="Arial" w:eastAsia="Arial" w:hAnsi="Arial"/>
          <w:sz w:val="24"/>
          <w:szCs w:val="24"/>
        </w:rPr>
        <w:t xml:space="preserve">Структура капитальных вложений относительно ожидаемых в 2016 году изменится в сторону сокращения доли внутренних инвестиций - с 57,7% до 55,6%, соответственно, и увеличения доли внешних инвестиций - с 42,3% до 44,4%.</w:t>
      </w:r>
    </w:p>
    <w:p>
      <w:pPr>
        <w:spacing w:after="60"/>
        <w:ind w:firstLine="567"/>
        <w:jc w:val="both"/>
      </w:pPr>
      <w:r>
        <w:rPr>
          <w:rFonts w:ascii="Arial" w:cs="Arial" w:eastAsia="Arial" w:hAnsi="Arial"/>
          <w:sz w:val="24"/>
          <w:szCs w:val="24"/>
        </w:rPr>
        <w:t xml:space="preserve">Основную долю в структуре внутренних инвестиций занимают средства предприятий, организаций и населения, составляя 91,1%.</w:t>
      </w:r>
    </w:p>
    <w:p>
      <w:pPr>
        <w:spacing w:after="60"/>
        <w:ind w:firstLine="567"/>
        <w:jc w:val="both"/>
      </w:pPr>
      <w:r>
        <w:rPr>
          <w:rFonts w:ascii="Arial" w:cs="Arial" w:eastAsia="Arial" w:hAnsi="Arial"/>
          <w:sz w:val="24"/>
          <w:szCs w:val="24"/>
        </w:rPr>
        <w:t xml:space="preserve">Приоритетными направлениями в строительстве в 2017 году будут: объекты строительства индивидуального жилья; объекты транспортной магистрали и энергетики (работы по строительству линий электропередачи), объекты сельского хозяйства (ирригационные сооружения) и т.д.</w:t>
      </w:r>
    </w:p>
    <w:p>
      <w:pPr>
        <w:spacing w:after="60"/>
        <w:ind w:firstLine="567"/>
        <w:jc w:val="both"/>
      </w:pPr>
      <w:r>
        <w:rPr>
          <w:rFonts w:ascii="Arial" w:cs="Arial" w:eastAsia="Arial" w:hAnsi="Arial"/>
          <w:sz w:val="24"/>
          <w:szCs w:val="24"/>
        </w:rPr>
        <w:t xml:space="preserve">Капитальные вложения за счет государственного бюджета в сумме 5399,0 млн. сомов будут направлены в приоритетном порядке на строительство и реконструкцию объектов социально-экономического значения, в том числе в сфере образования, здравоохранения, культуры и спорта, жилищного строительства.</w:t>
      </w:r>
    </w:p>
    <w:p>
      <w:pPr>
        <w:spacing w:after="60"/>
        <w:ind w:firstLine="567"/>
        <w:jc w:val="both"/>
      </w:pPr>
      <w:r>
        <w:rPr>
          <w:rFonts w:ascii="Arial" w:cs="Arial" w:eastAsia="Arial" w:hAnsi="Arial"/>
          <w:sz w:val="24"/>
          <w:szCs w:val="24"/>
        </w:rPr>
        <w:t xml:space="preserve">Прогнозные объемы капитальных вложений за счет средств предприятий и организаций в сумме 47,8 млрд. сомов сформированы за счет инвестиций закрытого акционерного общества "Кумтор Голд компании" (6105,7 млн. сомов), общества с ограниченной ответственностью "Газпром Кыргызстан" (24858,0 млн. сомов), открытого акционерного общества "Кыргызалтын" (192,5 млн. сомов), общества с ограниченной ответственностью "Алтынкен" (411,0 млн. сомов) и др.</w:t>
      </w:r>
    </w:p>
    <w:p>
      <w:pPr>
        <w:spacing w:after="60"/>
        <w:ind w:firstLine="567"/>
        <w:jc w:val="both"/>
      </w:pPr>
      <w:r>
        <w:rPr>
          <w:rFonts w:ascii="Arial" w:cs="Arial" w:eastAsia="Arial" w:hAnsi="Arial"/>
          <w:sz w:val="24"/>
          <w:szCs w:val="24"/>
        </w:rPr>
        <w:t xml:space="preserve">В 2017 году будут реализованы крупные инвестиционные проекты в транспортной и энергетической отраслях, которые внесут основной вклад в развитие строительства.</w:t>
      </w:r>
    </w:p>
    <w:p>
      <w:pPr>
        <w:spacing w:after="60"/>
        <w:ind w:firstLine="567"/>
        <w:jc w:val="both"/>
      </w:pPr>
      <w:r>
        <w:rPr>
          <w:rFonts w:ascii="Arial" w:cs="Arial" w:eastAsia="Arial" w:hAnsi="Arial"/>
          <w:sz w:val="24"/>
          <w:szCs w:val="24"/>
        </w:rPr>
        <w:t xml:space="preserve">Наибольшие объемы финансирования предусмотрены в секторе транспорта - всего 18445,6 млн. сомов, которые ожидаются за счет: проектов "Реконструкция автодороги Тараз - Талас - Суусамыр III" (Исламский банк развития, Саудовский фонд развития) (650,3 млн. сомов), "Реабилитация автодороги Бишкек - Торугарт" (Исламский банк развития, Саудовский фонд развития, Кувейтский фонд арабского экономического развития, Фонд Организации стран - экспортеров нефти, Фонд развития Абу-Даби) (1388,9 млн. сомов), Проект "Реабилитация двух участков автодорог в Кыргызской Республике" (Китайская Народная Республика) (510,9 млн. сомов), Проект "Улучшение коридора ЦАРЭС-3" (автодорога Бишкек - Ош, участок Бишкек - Кара-Балта) Фаза 4 (Азиатский банк развития) (1189,2 млн. сомов), Третий проект "ЦАРЭС Транспортный коридор 1 (дорога Бишкек - Торугарт)" (Азиатский банк развития) (66,5 млн. сомов). Проект "Улучшение дорожных путей сообщения в Центральной Азии" (дорога Ош - Худжант) (ВБ) (882,2 млн. сомов), "Строительство альтернативной дороги "Север-Юг Фаза 1 и Фаза 2" (Китайская Народная Республика) (10211,9 млн. сомов), Строительство альтернативной автодороги Север-Юг, км 159-183 (Исламский банк развития, Саудовский фонд развития) (689,6 млн. сомов), Проект "Пути соединения между транспортными коридорами ЦАРЕС 1 и ЦАРЕС 3 (Азиатский банк развития) (112,3 млн. сомов), Реабилитация автомобильной дороги "Ош - Баткен - Исфана" (Исламский банк развития) (571,6 млн. сомов), проект "Улучшение автодороги Бишкек - Ош" Фаза 4 (Азиатский Кредитный Фонд, Евразийский банк развития) (1578,8 млн. сомов), Проект "Улучшение основных международных дорог" (Japan International Cooperation Agency) (155,8 млн. сомов) и другие.</w:t>
      </w:r>
    </w:p>
    <w:p>
      <w:pPr>
        <w:spacing w:after="60"/>
        <w:ind w:firstLine="567"/>
        <w:jc w:val="both"/>
      </w:pPr>
      <w:r>
        <w:rPr>
          <w:rFonts w:ascii="Arial" w:cs="Arial" w:eastAsia="Arial" w:hAnsi="Arial"/>
          <w:sz w:val="24"/>
          <w:szCs w:val="24"/>
        </w:rPr>
        <w:t xml:space="preserve">В энергетической отрасли объемы финансирования предусмотрены в сумме 11796,3 млн. сомов, которые ожидаются за счет реализации проектов "Развитие сектора энергетики в Кыргызской Республике" (Азиатский банк развития) (799,8 млн. сомов), "Повышение эффективности электрораспределительных сетей" (Германский банк развития) (90,1 млн. сомов), "Реабилитация сектора энергетики" (Азиатский банк развития) (1259,7 млн. сомов), "Модернизация ТЭЦ города Бишкек" (Китайская Народная Республика) (4157,0 млн. сомов), "Реконструкция Атбашинской ГЭС" (Швейцария) (440,2 млн. сомов), "Повышение подотчетности и надежности электроснабжения" (Всемирный банк) (747,7 млн. сомов), "Улучшение электроснабжения Аркинского массива Лейлекского района Баткенской области (Исламский банк развития) (964,1 млн. сомов) и другие.</w:t>
      </w:r>
    </w:p>
    <w:p>
      <w:pPr>
        <w:spacing w:after="60"/>
        <w:ind w:firstLine="567"/>
        <w:jc w:val="both"/>
      </w:pPr>
      <w:r>
        <w:rPr>
          <w:rFonts w:ascii="Arial" w:cs="Arial" w:eastAsia="Arial" w:hAnsi="Arial"/>
          <w:sz w:val="24"/>
          <w:szCs w:val="24"/>
        </w:rPr>
        <w:t xml:space="preserve">Реализация указанных проектов позволит в значительной мере улучшить состояние энергетической отрасли в Кыргызской Республике и создаст благоприятную основу для увеличения объема продажи электрической энергии в соседние государства, а также транзитных перетоков. Кроме того, намечается реализация новых проектов, таких, как "Реконструкция Токтогульской ГЭС, Фаза 2 и Фаза 3" (Азиатский банк развития, Евразийский банк развития) (1252,1 млн. сомов), проект "CASA-1000" (Всемирный банк, Европейский инвестиционный банк, Исламский банк развития) (2085,6 млн. сомов).</w:t>
      </w:r>
    </w:p>
    <w:p>
      <w:pPr>
        <w:spacing w:after="60"/>
        <w:ind w:firstLine="567"/>
        <w:jc w:val="both"/>
      </w:pPr>
      <w:r>
        <w:rPr>
          <w:rFonts w:ascii="Arial" w:cs="Arial" w:eastAsia="Arial" w:hAnsi="Arial"/>
          <w:sz w:val="24"/>
          <w:szCs w:val="24"/>
        </w:rPr>
        <w:t xml:space="preserve">Объемы прямых иностранных инвестиций в сумме 13,8 млрд. сомов прогнозируются за счет капитальных вложений общества с ограниченной ответственностью "KAZ Minerals Bozymchak" (300,0 млн. сомов), южнокорейской компании "POSCO" (строительство ферросплавного завода в городе Таш-Кумыр) в сумме около 3 млрд. сомов и др.</w:t>
      </w:r>
    </w:p>
    <w:p>
      <w:pPr>
        <w:spacing w:after="60"/>
        <w:ind w:firstLine="567"/>
        <w:jc w:val="both"/>
      </w:pPr>
      <w:r>
        <w:rPr>
          <w:rFonts w:ascii="Arial" w:cs="Arial" w:eastAsia="Arial" w:hAnsi="Arial"/>
          <w:sz w:val="24"/>
          <w:szCs w:val="24"/>
        </w:rPr>
        <w:t xml:space="preserve">Исходя из планируемых объемов капитализации экономики, реальный рост общего объема валовой продукции строительства в 2017 году прогнозируется на 10,4% и составит 147,6 млрд. сомов. Влияние строительного сектора на темпы экономического роста будет положительным и составит 0,90 процентного пункта, удельный вес строительства в структуре производства ВВП - 9,0%.</w:t>
      </w:r>
    </w:p>
    <w:p>
      <w:pPr>
        <w:spacing w:after="60"/>
        <w:ind w:firstLine="567"/>
        <w:jc w:val="both"/>
      </w:pPr>
      <w:r>
        <w:rPr>
          <w:rFonts w:ascii="Arial" w:cs="Arial" w:eastAsia="Arial" w:hAnsi="Arial"/>
          <w:sz w:val="24"/>
          <w:szCs w:val="24"/>
        </w:rPr>
        <w:t xml:space="preserve">В региональном разрезе рост объемов строительства ожидается во всех регионах за счет реализации инвестиционных проектов в транспортной, горнодобывающей и энергетической отраслях. Основную долю будут занимать город Бишкек (33,4%), Чуйская (24,9%), Иссык-Кульская (13,5%) и Джалал-Абадская (10,3%) области, суммарный вклад которых в развитие строительной отрасли составит 9,9 процентных пункта.</w:t>
      </w:r>
    </w:p>
    <w:p>
      <w:pPr>
        <w:spacing w:after="60"/>
        <w:ind w:firstLine="567"/>
        <w:jc w:val="both"/>
      </w:pPr>
      <w:r>
        <w:rPr>
          <w:rFonts w:ascii="Arial" w:cs="Arial" w:eastAsia="Arial" w:hAnsi="Arial"/>
          <w:sz w:val="24"/>
          <w:szCs w:val="24"/>
        </w:rPr>
        <w:t xml:space="preserve">На развитие строительного сектора экономики будут влиять следующие факторы.</w:t>
      </w:r>
    </w:p>
    <w:p>
      <w:pPr>
        <w:spacing w:after="60"/>
        <w:ind w:firstLine="567"/>
        <w:jc w:val="both"/>
      </w:pPr>
      <w:r>
        <w:rPr>
          <w:rFonts w:ascii="Arial" w:cs="Arial" w:eastAsia="Arial" w:hAnsi="Arial"/>
          <w:sz w:val="24"/>
          <w:szCs w:val="24"/>
        </w:rPr>
        <w:t xml:space="preserve">Основная часть притока денежных переводов приходит из Российской Федерации (более 90%). В случае снижения притока этих средств может произойти снижение объемов жилищного строительства, осуществляемого за счет средств населения.</w:t>
      </w:r>
    </w:p>
    <w:p>
      <w:pPr>
        <w:spacing w:after="60"/>
        <w:ind w:firstLine="567"/>
        <w:jc w:val="both"/>
      </w:pPr>
      <w:r>
        <w:rPr>
          <w:rFonts w:ascii="Arial" w:cs="Arial" w:eastAsia="Arial" w:hAnsi="Arial"/>
          <w:sz w:val="24"/>
          <w:szCs w:val="24"/>
        </w:rPr>
        <w:t xml:space="preserve">Многие строительные материалы завозятся в Кыргызстан из Китайской Народной Республики и Турецкой Республики. В случае усиления требований, связанных с экспортом в страны-члены ЕАЭС из третьих стран, могут вызвать значительный рост цен на строительные материалы, вследствие чего, возможно, повысятся цены на строительные материалы и недвижимость.</w:t>
      </w:r>
    </w:p>
    <w:p>
      <w:pPr>
        <w:spacing w:after="60"/>
        <w:ind w:firstLine="567"/>
        <w:jc w:val="both"/>
      </w:pPr>
      <w:r>
        <w:rPr>
          <w:rFonts w:ascii="Arial" w:cs="Arial" w:eastAsia="Arial" w:hAnsi="Arial"/>
          <w:sz w:val="24"/>
          <w:szCs w:val="24"/>
        </w:rPr>
        <w:t xml:space="preserve">Вышеизложенные предпосылки вкупе могут привести к:</w:t>
      </w:r>
    </w:p>
    <w:p>
      <w:pPr>
        <w:spacing w:after="60"/>
        <w:ind w:firstLine="567"/>
        <w:jc w:val="both"/>
      </w:pPr>
      <w:r>
        <w:rPr>
          <w:rFonts w:ascii="Arial" w:cs="Arial" w:eastAsia="Arial" w:hAnsi="Arial"/>
          <w:sz w:val="24"/>
          <w:szCs w:val="24"/>
        </w:rPr>
        <w:t xml:space="preserve">- снижению объемов производства;</w:t>
      </w:r>
    </w:p>
    <w:p>
      <w:pPr>
        <w:spacing w:after="60"/>
        <w:ind w:firstLine="567"/>
        <w:jc w:val="both"/>
      </w:pPr>
      <w:r>
        <w:rPr>
          <w:rFonts w:ascii="Arial" w:cs="Arial" w:eastAsia="Arial" w:hAnsi="Arial"/>
          <w:sz w:val="24"/>
          <w:szCs w:val="24"/>
        </w:rPr>
        <w:t xml:space="preserve">- снижению инвестиций в основной капитал;</w:t>
      </w:r>
    </w:p>
    <w:p>
      <w:pPr>
        <w:spacing w:after="60"/>
        <w:ind w:firstLine="567"/>
        <w:jc w:val="both"/>
      </w:pPr>
      <w:r>
        <w:rPr>
          <w:rFonts w:ascii="Arial" w:cs="Arial" w:eastAsia="Arial" w:hAnsi="Arial"/>
          <w:sz w:val="24"/>
          <w:szCs w:val="24"/>
        </w:rPr>
        <w:t xml:space="preserve">- приостановке строительства объектов;</w:t>
      </w:r>
    </w:p>
    <w:p>
      <w:pPr>
        <w:spacing w:after="60"/>
        <w:ind w:firstLine="567"/>
        <w:jc w:val="both"/>
      </w:pPr>
      <w:r>
        <w:rPr>
          <w:rFonts w:ascii="Arial" w:cs="Arial" w:eastAsia="Arial" w:hAnsi="Arial"/>
          <w:sz w:val="24"/>
          <w:szCs w:val="24"/>
        </w:rPr>
        <w:t xml:space="preserve">- несвоевременному вводу в эксплуатацию жилья и т.д.</w:t>
      </w:r>
    </w:p>
    <w:p>
      <w:pPr>
        <w:spacing w:after="60" w:before="200"/>
        <w:ind w:firstLine="567"/>
        <w:jc w:val="left"/>
      </w:pPr>
      <w:r>
        <w:rPr>
          <w:rFonts w:ascii="Arial" w:cs="Arial" w:eastAsia="Arial" w:hAnsi="Arial"/>
          <w:b/>
          <w:bCs/>
          <w:sz w:val="24"/>
          <w:szCs w:val="24"/>
        </w:rPr>
        <w:t xml:space="preserve">5.9.4. Сфера услуг</w:t>
      </w:r>
    </w:p>
    <w:p>
      <w:pPr>
        <w:spacing w:after="60"/>
        <w:ind w:firstLine="567"/>
        <w:jc w:val="both"/>
      </w:pPr>
      <w:r>
        <w:rPr>
          <w:rFonts w:ascii="Arial" w:cs="Arial" w:eastAsia="Arial" w:hAnsi="Arial"/>
          <w:sz w:val="24"/>
          <w:szCs w:val="24"/>
        </w:rPr>
        <w:t xml:space="preserve">В 2017 году в сфере услуг наступит стадия восстановления, после отмеченного в 2016 году замедлений, вызванного адаптационными механизмами при вступлении Кыргызской Республики в ЕАЭС и замедление общемирового экономического развития. В 2017 году прогнозируемый рост в сфере услуг составит 103,7%, а объем валового выпуска сложится в объеме 439,6 млрд. сомов. В структуре ВВП сфера услуг занимает традиционно самую большую долю (51,07%), а также самый значимый вклад в рост ВВП 1,82 процентного пункта. Рост сферы услуг будет происходить за счет рыночных услуг с темпом роста 104,5%, а реальный рост нерыночных услуг составит 101,2%.</w:t>
      </w:r>
    </w:p>
    <w:p>
      <w:pPr>
        <w:spacing w:after="60" w:before="120"/>
        <w:ind w:firstLine="567"/>
        <w:jc w:val="right"/>
      </w:pPr>
      <w:r>
        <w:rPr>
          <w:rFonts w:ascii="Arial" w:cs="Arial" w:eastAsia="Arial" w:hAnsi="Arial"/>
          <w:sz w:val="24"/>
          <w:szCs w:val="24"/>
        </w:rPr>
        <w:t xml:space="preserve">Таблица 15</w:t>
      </w:r>
    </w:p>
    <w:p>
      <w:pPr>
        <w:spacing w:after="200" w:before="200"/>
        <w:jc w:val="center"/>
      </w:pPr>
      <w:r>
        <w:rPr>
          <w:rFonts w:ascii="Arial" w:cs="Arial" w:eastAsia="Arial" w:hAnsi="Arial"/>
          <w:b/>
          <w:bCs/>
          <w:sz w:val="32"/>
          <w:szCs w:val="32"/>
        </w:rPr>
        <w:t xml:space="preserve">Динамика темпов роста в отраслях сферы услуг, в процентах к предыдущему году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84"/>
        <w:gridCol w:w="1148"/>
        <w:gridCol w:w="1146"/>
      </w:tblGrid>
      <w:tr>
        <w:tc>
          <w:tcPr>
            <w:tcW w:type="dxa" w:w="788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11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w:t>
            </w:r>
          </w:p>
        </w:tc>
        <w:tc>
          <w:tcPr>
            <w:tcW w:type="dxa" w:w="11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w:t>
            </w:r>
          </w:p>
        </w:tc>
      </w:tr>
      <w:tr>
        <w:tc>
          <w:tcPr>
            <w:vMerge w:val="continue"/>
            <w:tcBorders>
              <w:top w:val="single" w:color="CBBF9E" w:sz="4"/>
              <w:left w:val="single" w:color="CBBF9E" w:sz="4"/>
              <w:bottom w:val="single" w:color="CBBF9E" w:sz="4"/>
              <w:right w:val="single" w:color="CBBF9E" w:sz="4"/>
            </w:tcBorders>
          </w:tcP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7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7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по отраслям:</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Оптовая и розничная торговля; ремонт автомобилей и мотоциклов</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r>
      <w:tr>
        <w:tc>
          <w:tcPr>
            <w:tcW w:type="dxa" w:w="7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Транспортная деятельность и хранение грузов</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r>
      <w:tr>
        <w:tc>
          <w:tcPr>
            <w:tcW w:type="dxa" w:w="7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Гостиницы и рестораны</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r>
      <w:tr>
        <w:tc>
          <w:tcPr>
            <w:tcW w:type="dxa" w:w="7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Информация и связь</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r>
      <w:tr>
        <w:tc>
          <w:tcPr>
            <w:tcW w:type="dxa" w:w="7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Финансовое посредничество и страхование</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r>
      <w:tr>
        <w:tc>
          <w:tcPr>
            <w:tcW w:type="dxa" w:w="7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Операции с недвижимым имуществом</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7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Профессиональная, научная и техническая деятельность</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r>
      <w:tr>
        <w:tc>
          <w:tcPr>
            <w:tcW w:type="dxa" w:w="7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Административная и вспомогательная деятельность</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r>
      <w:tr>
        <w:tc>
          <w:tcPr>
            <w:tcW w:type="dxa" w:w="7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 управление и оборона, обязательное социальное обеспечение</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r>
      <w:tr>
        <w:tc>
          <w:tcPr>
            <w:tcW w:type="dxa" w:w="7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Образование</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r>
      <w:tr>
        <w:tc>
          <w:tcPr>
            <w:tcW w:type="dxa" w:w="7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Здравоохранение и социальное обслуживание населения</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r>
      <w:tr>
        <w:tc>
          <w:tcPr>
            <w:tcW w:type="dxa" w:w="7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Искусство, развлечения и отдых</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78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Прочая обслуживающая деятельность</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r>
    </w:tbl>
    <w:p>
      <w:pPr>
        <w:spacing w:after="60" w:before="120"/>
        <w:ind w:firstLine="567"/>
        <w:jc w:val="both"/>
      </w:pPr>
      <w:r>
        <w:rPr>
          <w:rFonts w:ascii="Arial" w:cs="Arial" w:eastAsia="Arial" w:hAnsi="Arial"/>
          <w:sz w:val="24"/>
          <w:szCs w:val="24"/>
        </w:rPr>
        <w:t xml:space="preserve">Оптовая и розничная торговля, ремонт автомобилей и мотоциклов в 2017 году традиционно станут самым главным сектором в сфере услуг, вклад которого в рост сферы услуг оценивается в 2,0 процентных пункта. Валовой выпуск оптовой и розничной торговли; ремонта автомобилей и мотоциклов сложится на уровне порядка 156,9 млрд. сомов, с темпом реального роста 105,8%. Данному росту будут способствовать процессы по адаптации экономики к условиям ЕАЭС, восстановлением спроса со стороны стран-членов ЕАЭС на отечественную продукцию, а также восстановлением потока товаров из третьих стран в ЕАЭС.</w:t>
      </w:r>
    </w:p>
    <w:p>
      <w:pPr>
        <w:spacing w:after="60"/>
        <w:ind w:firstLine="567"/>
        <w:jc w:val="both"/>
      </w:pPr>
      <w:r>
        <w:rPr>
          <w:rFonts w:ascii="Arial" w:cs="Arial" w:eastAsia="Arial" w:hAnsi="Arial"/>
          <w:sz w:val="24"/>
          <w:szCs w:val="24"/>
        </w:rPr>
        <w:t xml:space="preserve">Валовой выпуск услуг транспортной деятельности и хранения грузов в 2017 году сложится на уровне 49,6 млрд. сомов, с темпом реального роста 105,5%. Увеличение показателя будет достигнуто за счет восстановления объема грузовых перевозок после значительного замедления в 2016 году, чему будет способствовать улучшение условий для отечественных грузоперевозчиков в оказании международных автотранспортных услуг, применение унифицированных тарифов. Улучшение автотранспортной системы, строительство новых дорог, таких, как Балыкчы - Корунду, Север-Юг - 2, а также дорог местного значения позволят увеличить внутренний грузопоток и пассажиропоток.</w:t>
      </w:r>
    </w:p>
    <w:p>
      <w:pPr>
        <w:spacing w:after="60"/>
        <w:ind w:firstLine="567"/>
        <w:jc w:val="both"/>
      </w:pPr>
      <w:r>
        <w:rPr>
          <w:rFonts w:ascii="Arial" w:cs="Arial" w:eastAsia="Arial" w:hAnsi="Arial"/>
          <w:sz w:val="24"/>
          <w:szCs w:val="24"/>
        </w:rPr>
        <w:t xml:space="preserve">Валовой выпуск услуг связи и информации составит 34,4 млрд. сомов, темп реального роста составит 101,6%. Основные перспективы развития будут направлены на улучшение качества и увеличение объема предоставляемых услуг, внедрение новых видов услуг и альтернатив, обеспечивающих пользователей возможностью выбора приемлемых для них условий.</w:t>
      </w:r>
    </w:p>
    <w:p>
      <w:pPr>
        <w:spacing w:after="60"/>
        <w:ind w:firstLine="567"/>
        <w:jc w:val="both"/>
      </w:pPr>
      <w:r>
        <w:rPr>
          <w:rFonts w:ascii="Arial" w:cs="Arial" w:eastAsia="Arial" w:hAnsi="Arial"/>
          <w:sz w:val="24"/>
          <w:szCs w:val="24"/>
        </w:rPr>
        <w:t xml:space="preserve">В сфере туризма основные направления деятельности будут направлены на создание благоприятных условий для развития отечественной туристической индустрии в целях повышения имиджа страны на международной арене и вклада туризма в экономику. Для достижения данных целей будут реализованы мероприятия, заложенные в Программе Правительства Кыргызской Республики по развитию сферы туризма до 2020 года (постановление Правительства Кыргызской Республики от 11 апреля 2016 года № 192).</w:t>
      </w:r>
    </w:p>
    <w:p>
      <w:pPr>
        <w:spacing w:after="60"/>
        <w:ind w:firstLine="567"/>
        <w:jc w:val="both"/>
      </w:pPr>
      <w:r>
        <w:rPr>
          <w:rFonts w:ascii="Arial" w:cs="Arial" w:eastAsia="Arial" w:hAnsi="Arial"/>
          <w:sz w:val="24"/>
          <w:szCs w:val="24"/>
        </w:rPr>
        <w:t xml:space="preserve">Политика в области развития туризма будет направлена на решение таких задач, как:</w:t>
      </w:r>
    </w:p>
    <w:p>
      <w:pPr>
        <w:spacing w:after="60"/>
        <w:ind w:firstLine="567"/>
        <w:jc w:val="both"/>
      </w:pPr>
      <w:r>
        <w:rPr>
          <w:rFonts w:ascii="Arial" w:cs="Arial" w:eastAsia="Arial" w:hAnsi="Arial"/>
          <w:sz w:val="24"/>
          <w:szCs w:val="24"/>
        </w:rPr>
        <w:t xml:space="preserve">- повышение узнаваемости Кыргызстана как страны туризма на основных традиционных и потенциальных туристских рынках;</w:t>
      </w:r>
    </w:p>
    <w:p>
      <w:pPr>
        <w:spacing w:after="60"/>
        <w:ind w:firstLine="567"/>
        <w:jc w:val="both"/>
      </w:pPr>
      <w:r>
        <w:rPr>
          <w:rFonts w:ascii="Arial" w:cs="Arial" w:eastAsia="Arial" w:hAnsi="Arial"/>
          <w:sz w:val="24"/>
          <w:szCs w:val="24"/>
        </w:rPr>
        <w:t xml:space="preserve">- упрощение процедуры въезда иностранных граждан в Кыргызскую Республику для туристических целей;</w:t>
      </w:r>
    </w:p>
    <w:p>
      <w:pPr>
        <w:spacing w:after="60"/>
        <w:ind w:firstLine="567"/>
        <w:jc w:val="both"/>
      </w:pPr>
      <w:r>
        <w:rPr>
          <w:rFonts w:ascii="Arial" w:cs="Arial" w:eastAsia="Arial" w:hAnsi="Arial"/>
          <w:sz w:val="24"/>
          <w:szCs w:val="24"/>
        </w:rPr>
        <w:t xml:space="preserve">- обеспечение надежного безопасного пребывания туристов в Кыргызстане;</w:t>
      </w:r>
    </w:p>
    <w:p>
      <w:pPr>
        <w:spacing w:after="60"/>
        <w:ind w:firstLine="567"/>
        <w:jc w:val="both"/>
      </w:pPr>
      <w:r>
        <w:rPr>
          <w:rFonts w:ascii="Arial" w:cs="Arial" w:eastAsia="Arial" w:hAnsi="Arial"/>
          <w:sz w:val="24"/>
          <w:szCs w:val="24"/>
        </w:rPr>
        <w:t xml:space="preserve">- модернизация базовых компонентов туристической инфраструктуры и подведение их под международные стандарты;</w:t>
      </w:r>
    </w:p>
    <w:p>
      <w:pPr>
        <w:spacing w:after="60"/>
        <w:ind w:firstLine="567"/>
        <w:jc w:val="both"/>
      </w:pPr>
      <w:r>
        <w:rPr>
          <w:rFonts w:ascii="Arial" w:cs="Arial" w:eastAsia="Arial" w:hAnsi="Arial"/>
          <w:sz w:val="24"/>
          <w:szCs w:val="24"/>
        </w:rPr>
        <w:t xml:space="preserve">- создание условий для обучения персонала туристских предприятий;</w:t>
      </w:r>
    </w:p>
    <w:p>
      <w:pPr>
        <w:spacing w:after="60"/>
        <w:ind w:firstLine="567"/>
        <w:jc w:val="both"/>
      </w:pPr>
      <w:r>
        <w:rPr>
          <w:rFonts w:ascii="Arial" w:cs="Arial" w:eastAsia="Arial" w:hAnsi="Arial"/>
          <w:sz w:val="24"/>
          <w:szCs w:val="24"/>
        </w:rPr>
        <w:t xml:space="preserve">- активное развитие туризма в регионах страны в соответствии со стратегическими целями национального уровня, а также с учетом специфики и имеющегося туристского потенциала каждой области;</w:t>
      </w:r>
    </w:p>
    <w:p>
      <w:pPr>
        <w:spacing w:after="60"/>
        <w:ind w:firstLine="567"/>
        <w:jc w:val="both"/>
      </w:pPr>
      <w:r>
        <w:rPr>
          <w:rFonts w:ascii="Arial" w:cs="Arial" w:eastAsia="Arial" w:hAnsi="Arial"/>
          <w:sz w:val="24"/>
          <w:szCs w:val="24"/>
        </w:rPr>
        <w:t xml:space="preserve">- обеспечение соблюдения экологических норм на туристских объектах и в регионах посещения;</w:t>
      </w:r>
    </w:p>
    <w:p>
      <w:pPr>
        <w:spacing w:after="60"/>
        <w:ind w:firstLine="567"/>
        <w:jc w:val="both"/>
      </w:pPr>
      <w:r>
        <w:rPr>
          <w:rFonts w:ascii="Arial" w:cs="Arial" w:eastAsia="Arial" w:hAnsi="Arial"/>
          <w:sz w:val="24"/>
          <w:szCs w:val="24"/>
        </w:rPr>
        <w:t xml:space="preserve">- обеспечение охраны окружающей среды в интересах местного сообщества и субъектов туристской отрасли страны с учетом оценки природной рекреационной емкости действующих и потенциальных туристско-рекреационных зон.</w:t>
      </w:r>
    </w:p>
    <w:p>
      <w:pPr>
        <w:spacing w:after="60"/>
        <w:ind w:firstLine="567"/>
        <w:jc w:val="both"/>
      </w:pPr>
      <w:r>
        <w:rPr>
          <w:rFonts w:ascii="Arial" w:cs="Arial" w:eastAsia="Arial" w:hAnsi="Arial"/>
          <w:sz w:val="24"/>
          <w:szCs w:val="24"/>
        </w:rPr>
        <w:t xml:space="preserve">В 2017 году в региональном разрезе основной вклад в объем рыночных услуг прогнозируется от города Бишкек (53,8%), Чуйской (11,8%), Джалал-Абадской (10%) областей. Их суммарный вклад составит 75,6%, что непосредственно связано с деловой активностью данных регионов и высокими доходами населения по сравнению с другими областями республики.</w:t>
      </w:r>
    </w:p>
    <w:p>
      <w:pPr>
        <w:spacing w:after="60" w:before="200"/>
        <w:ind w:firstLine="567"/>
        <w:jc w:val="left"/>
      </w:pPr>
      <w:r>
        <w:rPr>
          <w:rFonts w:ascii="Arial" w:cs="Arial" w:eastAsia="Arial" w:hAnsi="Arial"/>
          <w:b/>
          <w:bCs/>
          <w:sz w:val="24"/>
          <w:szCs w:val="24"/>
        </w:rPr>
        <w:t xml:space="preserve">5.10. Внешнеэкономическая деятельность</w:t>
      </w:r>
    </w:p>
    <w:p>
      <w:pPr>
        <w:spacing w:after="60"/>
        <w:ind w:firstLine="567"/>
        <w:jc w:val="both"/>
      </w:pPr>
      <w:r>
        <w:rPr>
          <w:rFonts w:ascii="Arial" w:cs="Arial" w:eastAsia="Arial" w:hAnsi="Arial"/>
          <w:sz w:val="24"/>
          <w:szCs w:val="24"/>
        </w:rPr>
        <w:t xml:space="preserve">Внешнеэкономическая деятельность в 2017 году будет направлена на создание благоприятных условий для роста и развития экспортного потенциала республики.</w:t>
      </w:r>
    </w:p>
    <w:p>
      <w:pPr>
        <w:spacing w:after="60"/>
        <w:ind w:firstLine="567"/>
        <w:jc w:val="both"/>
      </w:pPr>
      <w:r>
        <w:rPr>
          <w:rFonts w:ascii="Arial" w:cs="Arial" w:eastAsia="Arial" w:hAnsi="Arial"/>
          <w:sz w:val="24"/>
          <w:szCs w:val="24"/>
        </w:rPr>
        <w:t xml:space="preserve">Основными направлениями деятельности будет создание благоприятных условий для развития экспорта через реализацию мероприятий, заложенных в Плане Правительства Кыргызской Республики по развитию экспорта Кыргызской Республики на 2015-2017 годы (постановление Правительства Кыргызской Республики от 31 марта 2015 года № 174), а также использования преимуществ от получения статуса бенефициара ВСП+ для наращивания объемов экспорта в дальнее зарубежье.</w:t>
      </w:r>
    </w:p>
    <w:p>
      <w:pPr>
        <w:spacing w:after="60"/>
        <w:ind w:firstLine="567"/>
        <w:jc w:val="both"/>
      </w:pPr>
      <w:r>
        <w:rPr>
          <w:rFonts w:ascii="Arial" w:cs="Arial" w:eastAsia="Arial" w:hAnsi="Arial"/>
          <w:sz w:val="24"/>
          <w:szCs w:val="24"/>
        </w:rPr>
        <w:t xml:space="preserve">Объем внешнеторгового оборота прогнозируется на уровне 6,0 млрд. долл. США, с номинальным превышением уровня 2016 года на 3,8%.</w:t>
      </w:r>
    </w:p>
    <w:p>
      <w:pPr>
        <w:spacing w:after="60"/>
        <w:ind w:firstLine="567"/>
        <w:jc w:val="both"/>
      </w:pPr>
      <w:r>
        <w:rPr>
          <w:rFonts w:ascii="Arial" w:cs="Arial" w:eastAsia="Arial" w:hAnsi="Arial"/>
          <w:sz w:val="24"/>
          <w:szCs w:val="24"/>
        </w:rPr>
        <w:t xml:space="preserve">Прогнозируется, что номинальный объем экспортных поставок составит до 1,8 млрд. долл. США, и темп роста сложится на уровне 7,1%, за счет увеличения поставок ламп накаливания - на 3,1%, стекла - на 11,1%, хлопка-волокна - на 14,9% и др.</w:t>
      </w:r>
    </w:p>
    <w:p>
      <w:pPr>
        <w:spacing w:after="60"/>
        <w:ind w:firstLine="567"/>
        <w:jc w:val="both"/>
      </w:pPr>
      <w:r>
        <w:rPr>
          <w:rFonts w:ascii="Arial" w:cs="Arial" w:eastAsia="Arial" w:hAnsi="Arial"/>
          <w:sz w:val="24"/>
          <w:szCs w:val="24"/>
        </w:rPr>
        <w:t xml:space="preserve">Объем импорта сложится в размере 4,2 млрд. долл. США и номинальный рост составит 102,4%, который будет определяться ростом потребительского спроса, связанным с увеличением объемов поставок природного газа на 12,1%, промежуточных товаров, а также потребительских товаров.</w:t>
      </w:r>
    </w:p>
    <w:p>
      <w:pPr>
        <w:spacing w:after="60"/>
        <w:ind w:firstLine="567"/>
        <w:jc w:val="both"/>
      </w:pPr>
      <w:r>
        <w:rPr>
          <w:rFonts w:ascii="Arial" w:cs="Arial" w:eastAsia="Arial" w:hAnsi="Arial"/>
          <w:sz w:val="24"/>
          <w:szCs w:val="24"/>
        </w:rPr>
        <w:t xml:space="preserve">В результате отрицательное сальдо экспорта и импорта товаров сложится на уровне 2,4 млрд. долл. США.</w:t>
      </w:r>
    </w:p>
    <w:p>
      <w:pPr>
        <w:spacing w:after="60"/>
        <w:ind w:firstLine="567"/>
        <w:jc w:val="both"/>
      </w:pPr>
      <w:r>
        <w:rPr>
          <w:rFonts w:ascii="Arial" w:cs="Arial" w:eastAsia="Arial" w:hAnsi="Arial"/>
          <w:sz w:val="24"/>
          <w:szCs w:val="24"/>
        </w:rPr>
        <w:t xml:space="preserve">Отрицательное сальдо чистого экспорта товаров и услуг к ВВП незначительно ухудшится с (-)36,3% в 2016 году до (-)36,4% в 2017 году.</w:t>
      </w:r>
    </w:p>
    <w:p>
      <w:pPr>
        <w:spacing w:after="60" w:before="120"/>
        <w:ind w:firstLine="567"/>
        <w:jc w:val="right"/>
      </w:pPr>
      <w:r>
        <w:rPr>
          <w:rFonts w:ascii="Arial" w:cs="Arial" w:eastAsia="Arial" w:hAnsi="Arial"/>
          <w:sz w:val="24"/>
          <w:szCs w:val="24"/>
        </w:rPr>
        <w:t xml:space="preserve">Таблица 16</w:t>
      </w:r>
    </w:p>
    <w:p>
      <w:pPr>
        <w:spacing w:after="200" w:before="200"/>
        <w:jc w:val="center"/>
      </w:pPr>
      <w:r>
        <w:rPr>
          <w:rFonts w:ascii="Arial" w:cs="Arial" w:eastAsia="Arial" w:hAnsi="Arial"/>
          <w:b/>
          <w:bCs/>
          <w:sz w:val="32"/>
          <w:szCs w:val="32"/>
        </w:rPr>
        <w:t xml:space="preserve">ВВП по использованию (в % к ВВП)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89"/>
        <w:gridCol w:w="1346"/>
        <w:gridCol w:w="1343"/>
      </w:tblGrid>
      <w:tr>
        <w:tc>
          <w:tcPr>
            <w:tcW w:type="dxa" w:w="748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13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w:t>
            </w:r>
          </w:p>
        </w:tc>
        <w:tc>
          <w:tcPr>
            <w:tcW w:type="dxa" w:w="13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w:t>
            </w:r>
          </w:p>
        </w:tc>
      </w:tr>
      <w:tr>
        <w:tc>
          <w:tcPr>
            <w:vMerge w:val="continue"/>
            <w:tcBorders>
              <w:top w:val="single" w:color="CBBF9E" w:sz="4"/>
              <w:left w:val="single" w:color="CBBF9E" w:sz="4"/>
              <w:bottom w:val="single" w:color="CBBF9E" w:sz="4"/>
              <w:right w:val="single" w:color="CBBF9E" w:sz="4"/>
            </w:tcBorders>
          </w:tcPr>
          <w:p/>
        </w:tc>
        <w:tc>
          <w:tcPr>
            <w:tcW w:type="dxa" w:w="13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3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7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Потребление</w:t>
            </w:r>
          </w:p>
        </w:tc>
        <w:tc>
          <w:tcPr>
            <w:tcW w:type="dxa" w:w="13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3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r>
      <w:tr>
        <w:tc>
          <w:tcPr>
            <w:tcW w:type="dxa" w:w="7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13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13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w:t>
            </w:r>
          </w:p>
        </w:tc>
      </w:tr>
      <w:tr>
        <w:tc>
          <w:tcPr>
            <w:tcW w:type="dxa" w:w="7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13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87,1</w:t>
            </w:r>
          </w:p>
        </w:tc>
        <w:tc>
          <w:tcPr>
            <w:tcW w:type="dxa" w:w="13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87,5</w:t>
            </w:r>
          </w:p>
        </w:tc>
      </w:tr>
      <w:tr>
        <w:tc>
          <w:tcPr>
            <w:tcW w:type="dxa" w:w="7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w:t>
            </w:r>
          </w:p>
        </w:tc>
        <w:tc>
          <w:tcPr>
            <w:tcW w:type="dxa" w:w="13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13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32,3</w:t>
            </w:r>
          </w:p>
        </w:tc>
      </w:tr>
      <w:tr>
        <w:tc>
          <w:tcPr>
            <w:tcW w:type="dxa" w:w="7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3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13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r>
      <w:tr>
        <w:tc>
          <w:tcPr>
            <w:tcW w:type="dxa" w:w="7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Программы государственных инвестиций (внешние)</w:t>
            </w:r>
          </w:p>
        </w:tc>
        <w:tc>
          <w:tcPr>
            <w:tcW w:type="dxa" w:w="13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13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r>
      <w:tr>
        <w:tc>
          <w:tcPr>
            <w:tcW w:type="dxa" w:w="7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13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w:t>
            </w:r>
          </w:p>
        </w:tc>
        <w:tc>
          <w:tcPr>
            <w:tcW w:type="dxa" w:w="13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w:t>
            </w:r>
          </w:p>
        </w:tc>
      </w:tr>
      <w:tr>
        <w:tc>
          <w:tcPr>
            <w:tcW w:type="dxa" w:w="7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(товары и услуги)</w:t>
            </w:r>
          </w:p>
        </w:tc>
        <w:tc>
          <w:tcPr>
            <w:tcW w:type="dxa" w:w="13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w:t>
            </w:r>
          </w:p>
        </w:tc>
        <w:tc>
          <w:tcPr>
            <w:tcW w:type="dxa" w:w="13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w:t>
            </w:r>
          </w:p>
        </w:tc>
      </w:tr>
      <w:tr>
        <w:tc>
          <w:tcPr>
            <w:tcW w:type="dxa" w:w="7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(товары и услуги)</w:t>
            </w:r>
          </w:p>
        </w:tc>
        <w:tc>
          <w:tcPr>
            <w:tcW w:type="dxa" w:w="13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69,7</w:t>
            </w:r>
          </w:p>
        </w:tc>
        <w:tc>
          <w:tcPr>
            <w:tcW w:type="dxa" w:w="13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69,4</w:t>
            </w:r>
          </w:p>
        </w:tc>
      </w:tr>
      <w:tr>
        <w:tc>
          <w:tcPr>
            <w:tcW w:type="dxa" w:w="7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 товаров и услуг</w:t>
            </w:r>
          </w:p>
        </w:tc>
        <w:tc>
          <w:tcPr>
            <w:tcW w:type="dxa" w:w="13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w:t>
            </w:r>
          </w:p>
        </w:tc>
        <w:tc>
          <w:tcPr>
            <w:tcW w:type="dxa" w:w="13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-36,4</w:t>
            </w:r>
          </w:p>
        </w:tc>
      </w:tr>
    </w:tbl>
    <w:p>
      <w:pPr>
        <w:spacing w:after="60" w:before="120"/>
        <w:ind w:firstLine="567"/>
        <w:jc w:val="both"/>
      </w:pPr>
      <w:r>
        <w:rPr>
          <w:rFonts w:ascii="Arial" w:cs="Arial" w:eastAsia="Arial" w:hAnsi="Arial"/>
          <w:sz w:val="24"/>
          <w:szCs w:val="24"/>
        </w:rPr>
        <w:t xml:space="preserve">Прогнозируется, что в 2017 году доля частного потребления составит 87,5% от объема ВВП, темп реального роста сложится на уровне 103,2%. Частные потребительские расходы будут подкреплены прогнозируемым номинальным ростом денежных доходов населения на 2,7% за счет создания новых рабочих мест и ростом средней номинальной заработной платы на 7,5%.</w:t>
      </w:r>
    </w:p>
    <w:p>
      <w:pPr>
        <w:spacing w:after="60" w:before="200"/>
        <w:ind w:firstLine="567"/>
        <w:jc w:val="left"/>
      </w:pPr>
      <w:r>
        <w:rPr>
          <w:rFonts w:ascii="Arial" w:cs="Arial" w:eastAsia="Arial" w:hAnsi="Arial"/>
          <w:b/>
          <w:bCs/>
          <w:sz w:val="24"/>
          <w:szCs w:val="24"/>
        </w:rPr>
        <w:t xml:space="preserve">5.11. Социальная политика</w:t>
      </w:r>
    </w:p>
    <w:p>
      <w:pPr>
        <w:spacing w:after="120"/>
        <w:jc w:val="both"/>
      </w:pPr>
      <w:r>
        <w:rPr>
          <w:rFonts w:ascii="Arial" w:cs="Arial" w:eastAsia="Arial" w:hAnsi="Arial"/>
          <w:sz w:val="24"/>
          <w:szCs w:val="24"/>
        </w:rPr>
        <w:t xml:space="preserve">Политика социального развития в 2017 году будет направлена, в первую очередь, на выполнение в полном объеме гарантированных социальных обязательств государства, на повышение уровня жизни населения и улучшение положения социально незащищенных категорий граждан, с учетом реальных возможностей государства.</w:t>
      </w:r>
    </w:p>
    <w:p>
      <w:pPr>
        <w:spacing w:after="120"/>
        <w:jc w:val="both"/>
      </w:pPr>
      <w:r>
        <w:rPr>
          <w:rFonts w:ascii="Arial" w:cs="Arial" w:eastAsia="Arial" w:hAnsi="Arial"/>
          <w:sz w:val="24"/>
          <w:szCs w:val="24"/>
        </w:rPr>
        <w:t xml:space="preserve">Основные приоритетные направления деятельности определены в Программе развития социальной защиты населения Кыргызской Республики на 2015-2017 годы (далее - Программа) (постановление Правительства Кыргызской Республики от 27 февраля 2015 года № 85).</w:t>
      </w:r>
    </w:p>
    <w:p>
      <w:pPr>
        <w:spacing w:after="60"/>
        <w:ind w:firstLine="567"/>
        <w:jc w:val="both"/>
      </w:pPr>
      <w:r>
        <w:rPr>
          <w:rFonts w:ascii="Arial" w:cs="Arial" w:eastAsia="Arial" w:hAnsi="Arial"/>
          <w:sz w:val="24"/>
          <w:szCs w:val="24"/>
        </w:rPr>
        <w:t xml:space="preserve">Основной целью Программы является обеспечение качественными услугами и создание равных возможностей для социально незащищенных категорий граждан. Программа также нацелена на оказание адресной социальной помощи наиболее уязвимым категориям граждан, стимулирование экономической активности трудоспособного населения и оказание содействия в выходе из трудной жизненной ситуации.</w:t>
      </w:r>
    </w:p>
    <w:p>
      <w:pPr>
        <w:spacing w:after="60"/>
        <w:ind w:firstLine="567"/>
        <w:jc w:val="both"/>
      </w:pPr>
      <w:r>
        <w:rPr>
          <w:rFonts w:ascii="Arial" w:cs="Arial" w:eastAsia="Arial" w:hAnsi="Arial"/>
          <w:sz w:val="24"/>
          <w:szCs w:val="24"/>
        </w:rPr>
        <w:t xml:space="preserve">Основная цель Программы будет достигнута в результате реализации конкретных задач по приоритетным направлениям:</w:t>
      </w:r>
    </w:p>
    <w:p>
      <w:pPr>
        <w:spacing w:after="60"/>
        <w:ind w:firstLine="567"/>
        <w:jc w:val="both"/>
      </w:pPr>
      <w:r>
        <w:rPr>
          <w:rFonts w:ascii="Arial" w:cs="Arial" w:eastAsia="Arial" w:hAnsi="Arial"/>
          <w:sz w:val="24"/>
          <w:szCs w:val="24"/>
        </w:rPr>
        <w:t xml:space="preserve">- создание условий для развития и жизнедеятельности детей и семей, находящихся в трудной жизненной ситуации, и обеспечение предоставления им качественных социальных услуг;</w:t>
      </w:r>
    </w:p>
    <w:p>
      <w:pPr>
        <w:spacing w:after="60"/>
        <w:ind w:firstLine="567"/>
        <w:jc w:val="both"/>
      </w:pPr>
      <w:r>
        <w:rPr>
          <w:rFonts w:ascii="Arial" w:cs="Arial" w:eastAsia="Arial" w:hAnsi="Arial"/>
          <w:sz w:val="24"/>
          <w:szCs w:val="24"/>
        </w:rPr>
        <w:t xml:space="preserve">- усиление адресности ежемесячных пособий малообеспеченным семьям и повышение их размеров;</w:t>
      </w:r>
    </w:p>
    <w:p>
      <w:pPr>
        <w:spacing w:after="60"/>
        <w:ind w:firstLine="567"/>
        <w:jc w:val="both"/>
      </w:pPr>
      <w:r>
        <w:rPr>
          <w:rFonts w:ascii="Arial" w:cs="Arial" w:eastAsia="Arial" w:hAnsi="Arial"/>
          <w:sz w:val="24"/>
          <w:szCs w:val="24"/>
        </w:rPr>
        <w:t xml:space="preserve">- обеспечение равноправного доступа к базовым услугам и создание доступной среды жизнедеятельности для лиц с ограниченными возможностями здоровья в целях эффективной интеграции их в общество;</w:t>
      </w:r>
    </w:p>
    <w:p>
      <w:pPr>
        <w:spacing w:after="60"/>
        <w:ind w:firstLine="567"/>
        <w:jc w:val="both"/>
      </w:pPr>
      <w:r>
        <w:rPr>
          <w:rFonts w:ascii="Arial" w:cs="Arial" w:eastAsia="Arial" w:hAnsi="Arial"/>
          <w:sz w:val="24"/>
          <w:szCs w:val="24"/>
        </w:rPr>
        <w:t xml:space="preserve">- обеспечение пожилых граждан достойным уровнем социальных выплат и доступом к качественным социальным услугам.</w:t>
      </w:r>
    </w:p>
    <w:p>
      <w:pPr>
        <w:spacing w:after="60"/>
        <w:ind w:firstLine="567"/>
        <w:jc w:val="both"/>
      </w:pPr>
      <w:r>
        <w:rPr>
          <w:rFonts w:ascii="Arial" w:cs="Arial" w:eastAsia="Arial" w:hAnsi="Arial"/>
          <w:sz w:val="24"/>
          <w:szCs w:val="24"/>
        </w:rPr>
        <w:t xml:space="preserve">Предлагаемые меры направлены на интегрированный, системный и адресный подход к решению проблем социально незащищенных категорий граждан, с учетом их потребностей, в том числе связанных с продовольственной безопасностью и питанием, а также внедрение новых форм социальной работы и совершенствование стандартов социальной защиты населения.</w:t>
      </w:r>
    </w:p>
    <w:p>
      <w:pPr>
        <w:spacing w:after="60"/>
        <w:ind w:firstLine="567"/>
        <w:jc w:val="both"/>
      </w:pPr>
      <w:r>
        <w:rPr>
          <w:rFonts w:ascii="Arial" w:cs="Arial" w:eastAsia="Arial" w:hAnsi="Arial"/>
          <w:sz w:val="24"/>
          <w:szCs w:val="24"/>
        </w:rPr>
        <w:t xml:space="preserve">Проведение активной политики содействия занятости населения является одним из основных социальных приоритетов деятельности Правительства Кыргызской Республики. Основные приоритетные направления деятельности определены в Программе содействия занятости населения и регулирования внутренней и внешней трудовой миграции до 2020 года (постановление Правительства Кыргызской Республики от 6 сентября 2013 года № 485). Целью данной Программы является создание условий для продуктивной занятости населения, снижение безработицы, дисбаланса спроса и предложения на рынке труда путем активизации мер содействия занятости населения, с учетом более полного и рационального использования трудовых ресурсов, защиты прав граждан Кыргызской Республики, осуществляющих трудовую деятельность за рубежом.</w:t>
      </w:r>
    </w:p>
    <w:p>
      <w:pPr>
        <w:spacing w:after="60"/>
        <w:ind w:firstLine="567"/>
        <w:jc w:val="both"/>
      </w:pPr>
      <w:r>
        <w:rPr>
          <w:rFonts w:ascii="Arial" w:cs="Arial" w:eastAsia="Arial" w:hAnsi="Arial"/>
          <w:sz w:val="24"/>
          <w:szCs w:val="24"/>
        </w:rPr>
        <w:t xml:space="preserve">Основная цель Программы содействия занятости населения и регулирования внутренней и внешней трудовой миграции до 2020 года будет достигнута в результате реализации конкретных задач по основным направлениям:</w:t>
      </w:r>
    </w:p>
    <w:p>
      <w:pPr>
        <w:spacing w:after="60"/>
        <w:ind w:firstLine="567"/>
        <w:jc w:val="both"/>
      </w:pPr>
      <w:r>
        <w:rPr>
          <w:rFonts w:ascii="Arial" w:cs="Arial" w:eastAsia="Arial" w:hAnsi="Arial"/>
          <w:sz w:val="24"/>
          <w:szCs w:val="24"/>
        </w:rPr>
        <w:t xml:space="preserve">- разработка и принятие нормативных правовых актов, направленных на содействие занятости и регулирование внутренней и внешней трудовой миграции;</w:t>
      </w:r>
    </w:p>
    <w:p>
      <w:pPr>
        <w:spacing w:after="60"/>
        <w:ind w:firstLine="567"/>
        <w:jc w:val="both"/>
      </w:pPr>
      <w:r>
        <w:rPr>
          <w:rFonts w:ascii="Arial" w:cs="Arial" w:eastAsia="Arial" w:hAnsi="Arial"/>
          <w:sz w:val="24"/>
          <w:szCs w:val="24"/>
        </w:rPr>
        <w:t xml:space="preserve">- создание условий для содействия занятости населения в государственных и негосударственных секторах экономики, включая разработку и реализацию программ социально-экономического развития регионов в целях сокращения уровня безработицы;</w:t>
      </w:r>
    </w:p>
    <w:p>
      <w:pPr>
        <w:spacing w:after="60"/>
        <w:ind w:firstLine="567"/>
        <w:jc w:val="both"/>
      </w:pPr>
      <w:r>
        <w:rPr>
          <w:rFonts w:ascii="Arial" w:cs="Arial" w:eastAsia="Arial" w:hAnsi="Arial"/>
          <w:sz w:val="24"/>
          <w:szCs w:val="24"/>
        </w:rPr>
        <w:t xml:space="preserve">- усиление активных мер содействия занятости на рынке труда;</w:t>
      </w:r>
    </w:p>
    <w:p>
      <w:pPr>
        <w:spacing w:after="60"/>
        <w:ind w:firstLine="567"/>
        <w:jc w:val="both"/>
      </w:pPr>
      <w:r>
        <w:rPr>
          <w:rFonts w:ascii="Arial" w:cs="Arial" w:eastAsia="Arial" w:hAnsi="Arial"/>
          <w:sz w:val="24"/>
          <w:szCs w:val="24"/>
        </w:rPr>
        <w:t xml:space="preserve">- совершенствование системы анализа и прогноза рынка труда и т.д.</w:t>
      </w:r>
    </w:p>
    <w:p>
      <w:pPr>
        <w:spacing w:after="60"/>
        <w:ind w:firstLine="567"/>
        <w:jc w:val="both"/>
      </w:pPr>
      <w:r>
        <w:rPr>
          <w:rFonts w:ascii="Arial" w:cs="Arial" w:eastAsia="Arial" w:hAnsi="Arial"/>
          <w:sz w:val="24"/>
          <w:szCs w:val="24"/>
        </w:rPr>
        <w:t xml:space="preserve">Миграционная политика в 2017 году будет сконцентрирована на следующих направлениях:</w:t>
      </w:r>
    </w:p>
    <w:p>
      <w:pPr>
        <w:spacing w:after="60"/>
        <w:ind w:firstLine="567"/>
        <w:jc w:val="both"/>
      </w:pPr>
      <w:r>
        <w:rPr>
          <w:rFonts w:ascii="Arial" w:cs="Arial" w:eastAsia="Arial" w:hAnsi="Arial"/>
          <w:sz w:val="24"/>
          <w:szCs w:val="24"/>
        </w:rPr>
        <w:t xml:space="preserve">1) разработка и реализация миграционной политики, в которую входит:</w:t>
      </w:r>
    </w:p>
    <w:p>
      <w:pPr>
        <w:spacing w:after="60"/>
        <w:ind w:firstLine="567"/>
        <w:jc w:val="both"/>
      </w:pPr>
      <w:r>
        <w:rPr>
          <w:rFonts w:ascii="Arial" w:cs="Arial" w:eastAsia="Arial" w:hAnsi="Arial"/>
          <w:sz w:val="24"/>
          <w:szCs w:val="24"/>
        </w:rPr>
        <w:t xml:space="preserve">- создание сети Центров домиграционной подготовки, обеспечивающих легитимность, информированность, безопасность и подготовку мигрантов;</w:t>
      </w:r>
    </w:p>
    <w:p>
      <w:pPr>
        <w:spacing w:after="60"/>
        <w:ind w:firstLine="567"/>
        <w:jc w:val="both"/>
      </w:pPr>
      <w:r>
        <w:rPr>
          <w:rFonts w:ascii="Arial" w:cs="Arial" w:eastAsia="Arial" w:hAnsi="Arial"/>
          <w:sz w:val="24"/>
          <w:szCs w:val="24"/>
        </w:rPr>
        <w:t xml:space="preserve">- создание единой базы данных по миграции;</w:t>
      </w:r>
    </w:p>
    <w:p>
      <w:pPr>
        <w:spacing w:after="60"/>
        <w:ind w:firstLine="567"/>
        <w:jc w:val="both"/>
      </w:pPr>
      <w:r>
        <w:rPr>
          <w:rFonts w:ascii="Arial" w:cs="Arial" w:eastAsia="Arial" w:hAnsi="Arial"/>
          <w:sz w:val="24"/>
          <w:szCs w:val="24"/>
        </w:rPr>
        <w:t xml:space="preserve">- запуск проектов по созданию "служб доверия", "горячих линий" и "центров помощи мигрантам" в странах пребывания;</w:t>
      </w:r>
    </w:p>
    <w:p>
      <w:pPr>
        <w:spacing w:after="60"/>
        <w:ind w:firstLine="567"/>
        <w:jc w:val="both"/>
      </w:pPr>
      <w:r>
        <w:rPr>
          <w:rFonts w:ascii="Arial" w:cs="Arial" w:eastAsia="Arial" w:hAnsi="Arial"/>
          <w:sz w:val="24"/>
          <w:szCs w:val="24"/>
        </w:rPr>
        <w:t xml:space="preserve">- поддержку существующих и содействие созданию новых объединений/организаций трудящихся-мигрантов с целью мобилизации их усилий по оказанию всесторонней помощи трудящимся-мигрантам.</w:t>
      </w:r>
    </w:p>
    <w:p>
      <w:pPr>
        <w:spacing w:after="60"/>
        <w:ind w:firstLine="567"/>
        <w:jc w:val="both"/>
      </w:pPr>
      <w:r>
        <w:rPr>
          <w:rFonts w:ascii="Arial" w:cs="Arial" w:eastAsia="Arial" w:hAnsi="Arial"/>
          <w:sz w:val="24"/>
          <w:szCs w:val="24"/>
        </w:rPr>
        <w:t xml:space="preserve">2) Подготовка к миграции, которая включает в себя следующие мероприятия:</w:t>
      </w:r>
    </w:p>
    <w:p>
      <w:pPr>
        <w:spacing w:after="60"/>
        <w:ind w:firstLine="567"/>
        <w:jc w:val="both"/>
      </w:pPr>
      <w:r>
        <w:rPr>
          <w:rFonts w:ascii="Arial" w:cs="Arial" w:eastAsia="Arial" w:hAnsi="Arial"/>
          <w:sz w:val="24"/>
          <w:szCs w:val="24"/>
        </w:rPr>
        <w:t xml:space="preserve">- обеспечение всестороннего и доступного информирования населения о существующих возможностях трудоустройства в странах прибытия;</w:t>
      </w:r>
    </w:p>
    <w:p>
      <w:pPr>
        <w:spacing w:after="60"/>
        <w:ind w:firstLine="567"/>
        <w:jc w:val="both"/>
      </w:pPr>
      <w:r>
        <w:rPr>
          <w:rFonts w:ascii="Arial" w:cs="Arial" w:eastAsia="Arial" w:hAnsi="Arial"/>
          <w:sz w:val="24"/>
          <w:szCs w:val="24"/>
        </w:rPr>
        <w:t xml:space="preserve">- создание открытого информационного портала для получения необходимой информации о рынках труда, условиях, проезде, получении работы и жительства, правилах пребывания и трудоустройстве в стране пребывания;</w:t>
      </w:r>
    </w:p>
    <w:p>
      <w:pPr>
        <w:spacing w:after="60"/>
        <w:ind w:firstLine="567"/>
        <w:jc w:val="both"/>
      </w:pPr>
      <w:r>
        <w:rPr>
          <w:rFonts w:ascii="Arial" w:cs="Arial" w:eastAsia="Arial" w:hAnsi="Arial"/>
          <w:sz w:val="24"/>
          <w:szCs w:val="24"/>
        </w:rPr>
        <w:t xml:space="preserve">- разработка и внедрение на законодательном уровне системы заключения контрактов между мигрантами, выезжающими на работу в другие страны, и частными агентствами занятости, работодателями в стране назначения;</w:t>
      </w:r>
    </w:p>
    <w:p>
      <w:pPr>
        <w:spacing w:after="60"/>
        <w:ind w:firstLine="567"/>
        <w:jc w:val="both"/>
      </w:pPr>
      <w:r>
        <w:rPr>
          <w:rFonts w:ascii="Arial" w:cs="Arial" w:eastAsia="Arial" w:hAnsi="Arial"/>
          <w:sz w:val="24"/>
          <w:szCs w:val="24"/>
        </w:rPr>
        <w:t xml:space="preserve">- разработка специальной программы в целях приведения системы профессиональной подготовки в соответствие с существующей конъюнктурой рынка труда (внешнего и внутреннего).</w:t>
      </w:r>
    </w:p>
    <w:p>
      <w:pPr>
        <w:spacing w:after="60"/>
        <w:ind w:firstLine="567"/>
        <w:jc w:val="both"/>
      </w:pPr>
      <w:r>
        <w:rPr>
          <w:rFonts w:ascii="Arial" w:cs="Arial" w:eastAsia="Arial" w:hAnsi="Arial"/>
          <w:sz w:val="24"/>
          <w:szCs w:val="24"/>
        </w:rPr>
        <w:t xml:space="preserve">3) Поддержка трудовых мигрантов в странах пребывания, которая содержит следующие задачи:</w:t>
      </w:r>
    </w:p>
    <w:p>
      <w:pPr>
        <w:spacing w:after="60"/>
        <w:ind w:firstLine="567"/>
        <w:jc w:val="both"/>
      </w:pPr>
      <w:r>
        <w:rPr>
          <w:rFonts w:ascii="Arial" w:cs="Arial" w:eastAsia="Arial" w:hAnsi="Arial"/>
          <w:sz w:val="24"/>
          <w:szCs w:val="24"/>
        </w:rPr>
        <w:t xml:space="preserve">- проработка с компаниями и банками, имеющими платежные системы, возможности доступа к банковским услугам в странах пребывания, льготного трансфера финансовых ресурсов мигрантов;</w:t>
      </w:r>
    </w:p>
    <w:p>
      <w:pPr>
        <w:spacing w:after="60"/>
        <w:ind w:firstLine="567"/>
        <w:jc w:val="both"/>
      </w:pPr>
      <w:r>
        <w:rPr>
          <w:rFonts w:ascii="Arial" w:cs="Arial" w:eastAsia="Arial" w:hAnsi="Arial"/>
          <w:sz w:val="24"/>
          <w:szCs w:val="24"/>
        </w:rPr>
        <w:t xml:space="preserve">- противодействие незаконному привлечению использования работодателями труда мигрантов.</w:t>
      </w:r>
    </w:p>
    <w:p>
      <w:pPr>
        <w:spacing w:after="60"/>
        <w:ind w:firstLine="567"/>
        <w:jc w:val="both"/>
      </w:pPr>
      <w:r>
        <w:rPr>
          <w:rFonts w:ascii="Arial" w:cs="Arial" w:eastAsia="Arial" w:hAnsi="Arial"/>
          <w:sz w:val="24"/>
          <w:szCs w:val="24"/>
        </w:rPr>
        <w:t xml:space="preserve">Основные направления развития пенсионной системы заложены в Концепции развития системы пенсионного обеспечения Кыргызской Республики (постановление Правительства Кыргызской Республики от 24 ноября 2014 года № 670).</w:t>
      </w:r>
    </w:p>
    <w:p>
      <w:pPr>
        <w:spacing w:after="60"/>
        <w:ind w:firstLine="567"/>
        <w:jc w:val="both"/>
      </w:pPr>
      <w:r>
        <w:rPr>
          <w:rFonts w:ascii="Arial" w:cs="Arial" w:eastAsia="Arial" w:hAnsi="Arial"/>
          <w:sz w:val="24"/>
          <w:szCs w:val="24"/>
        </w:rPr>
        <w:t xml:space="preserve">В данной Концепции определены перспективные направления дальнейших этапов реформирования основных параметров действующей пенсионной системы Кыргызской Республики в целях повышения ее справедливости и эффективности. Основной целью развития системы пенсионного обеспечения Кыргызской Республики является поддержание уровня жизни пенсионеров, компенсация части утраченного ими заработка путем формирования финансово устойчивой страховой пенсионной системы, содержащей для работодателя и работника механизмы заинтересованности и ответственности за пенсионное обеспечение.</w:t>
      </w:r>
    </w:p>
    <w:p>
      <w:pPr>
        <w:spacing w:after="60"/>
        <w:ind w:firstLine="567"/>
        <w:jc w:val="both"/>
      </w:pPr>
      <w:r>
        <w:rPr>
          <w:rFonts w:ascii="Arial" w:cs="Arial" w:eastAsia="Arial" w:hAnsi="Arial"/>
          <w:sz w:val="24"/>
          <w:szCs w:val="24"/>
        </w:rPr>
        <w:t xml:space="preserve">Одной из задач, предусмотренной для достижения поставленных целей, является совершенствование системы государственного пенсионного страхования.</w:t>
      </w:r>
    </w:p>
    <w:p>
      <w:pPr>
        <w:spacing w:after="60"/>
        <w:ind w:firstLine="567"/>
        <w:jc w:val="both"/>
      </w:pPr>
      <w:r>
        <w:rPr>
          <w:rFonts w:ascii="Arial" w:cs="Arial" w:eastAsia="Arial" w:hAnsi="Arial"/>
          <w:sz w:val="24"/>
          <w:szCs w:val="24"/>
        </w:rPr>
        <w:t xml:space="preserve">Основные мероприятия по реализации указанных задач будут сосредоточены на разработке нормативной правовой базы, предусматривающей:</w:t>
      </w:r>
    </w:p>
    <w:p>
      <w:pPr>
        <w:spacing w:after="60"/>
        <w:ind w:firstLine="567"/>
        <w:jc w:val="both"/>
      </w:pPr>
      <w:r>
        <w:rPr>
          <w:rFonts w:ascii="Arial" w:cs="Arial" w:eastAsia="Arial" w:hAnsi="Arial"/>
          <w:sz w:val="24"/>
          <w:szCs w:val="24"/>
        </w:rPr>
        <w:t xml:space="preserve">- проработку вопроса уплаты страховых взносов для крестьянских и фермерских хозяйств и лиц, занятых индивидуальной предпринимательской деятельностью на рынках;</w:t>
      </w:r>
    </w:p>
    <w:p>
      <w:pPr>
        <w:spacing w:after="60"/>
        <w:ind w:firstLine="567"/>
        <w:jc w:val="both"/>
      </w:pPr>
      <w:r>
        <w:rPr>
          <w:rFonts w:ascii="Arial" w:cs="Arial" w:eastAsia="Arial" w:hAnsi="Arial"/>
          <w:sz w:val="24"/>
          <w:szCs w:val="24"/>
        </w:rPr>
        <w:t xml:space="preserve">- поэтапное увеличение льготного пенсионного возраста, предусмотренного для жителей высокогорных и отдаленных труднодоступных зон;</w:t>
      </w:r>
    </w:p>
    <w:p>
      <w:pPr>
        <w:spacing w:after="60"/>
        <w:ind w:firstLine="567"/>
        <w:jc w:val="both"/>
      </w:pPr>
      <w:r>
        <w:rPr>
          <w:rFonts w:ascii="Arial" w:cs="Arial" w:eastAsia="Arial" w:hAnsi="Arial"/>
          <w:sz w:val="24"/>
          <w:szCs w:val="24"/>
        </w:rPr>
        <w:t xml:space="preserve">- введение минимального страхового стажа для получения права на пенсию по возрасту;</w:t>
      </w:r>
    </w:p>
    <w:p>
      <w:pPr>
        <w:spacing w:after="60"/>
        <w:ind w:firstLine="567"/>
        <w:jc w:val="both"/>
      </w:pPr>
      <w:r>
        <w:rPr>
          <w:rFonts w:ascii="Arial" w:cs="Arial" w:eastAsia="Arial" w:hAnsi="Arial"/>
          <w:sz w:val="24"/>
          <w:szCs w:val="24"/>
        </w:rPr>
        <w:t xml:space="preserve">- совершенствование механизма индексации накопленных на страховом счете взносов;</w:t>
      </w:r>
    </w:p>
    <w:p>
      <w:pPr>
        <w:spacing w:after="60"/>
        <w:ind w:firstLine="567"/>
        <w:jc w:val="both"/>
      </w:pPr>
      <w:r>
        <w:rPr>
          <w:rFonts w:ascii="Arial" w:cs="Arial" w:eastAsia="Arial" w:hAnsi="Arial"/>
          <w:sz w:val="24"/>
          <w:szCs w:val="24"/>
        </w:rPr>
        <w:t xml:space="preserve">- проработка вопроса о заключении Договора о пенсионном обеспечении трудящихся государств-членов Евразийского экономического союза.</w:t>
      </w:r>
    </w:p>
    <w:p>
      <w:pPr>
        <w:spacing w:after="60"/>
        <w:ind w:firstLine="567"/>
        <w:jc w:val="both"/>
      </w:pPr>
      <w:r>
        <w:rPr>
          <w:rFonts w:ascii="Arial" w:cs="Arial" w:eastAsia="Arial" w:hAnsi="Arial"/>
          <w:sz w:val="24"/>
          <w:szCs w:val="24"/>
        </w:rPr>
        <w:t xml:space="preserve">Приоритетными задачами в 2017 году в сфере здравоохранения являются:</w:t>
      </w:r>
    </w:p>
    <w:p>
      <w:pPr>
        <w:spacing w:after="60"/>
        <w:ind w:firstLine="567"/>
        <w:jc w:val="both"/>
      </w:pPr>
      <w:r>
        <w:rPr>
          <w:rFonts w:ascii="Arial" w:cs="Arial" w:eastAsia="Arial" w:hAnsi="Arial"/>
          <w:sz w:val="24"/>
          <w:szCs w:val="24"/>
        </w:rPr>
        <w:t xml:space="preserve">- обеспечение всеобщего доступа населения к услугам здравоохранения;</w:t>
      </w:r>
    </w:p>
    <w:p>
      <w:pPr>
        <w:spacing w:after="60"/>
        <w:ind w:firstLine="567"/>
        <w:jc w:val="both"/>
      </w:pPr>
      <w:r>
        <w:rPr>
          <w:rFonts w:ascii="Arial" w:cs="Arial" w:eastAsia="Arial" w:hAnsi="Arial"/>
          <w:sz w:val="24"/>
          <w:szCs w:val="24"/>
        </w:rPr>
        <w:t xml:space="preserve">- вовлечение других секторов экономики и социальной сферы в вопросы охраны и укрепления здоровья населения;</w:t>
      </w:r>
    </w:p>
    <w:p>
      <w:pPr>
        <w:spacing w:after="60"/>
        <w:ind w:firstLine="567"/>
        <w:jc w:val="both"/>
      </w:pPr>
      <w:r>
        <w:rPr>
          <w:rFonts w:ascii="Arial" w:cs="Arial" w:eastAsia="Arial" w:hAnsi="Arial"/>
          <w:sz w:val="24"/>
          <w:szCs w:val="24"/>
        </w:rPr>
        <w:t xml:space="preserve">- реализация комплексных мер по улучшению показателей здравоохранения, с учетом социально-экономических и культурных факторов, интеграции вопросов здравоохранения в отраслевые программы;</w:t>
      </w:r>
    </w:p>
    <w:p>
      <w:pPr>
        <w:spacing w:after="60"/>
        <w:ind w:firstLine="567"/>
        <w:jc w:val="both"/>
      </w:pPr>
      <w:r>
        <w:rPr>
          <w:rFonts w:ascii="Arial" w:cs="Arial" w:eastAsia="Arial" w:hAnsi="Arial"/>
          <w:sz w:val="24"/>
          <w:szCs w:val="24"/>
        </w:rPr>
        <w:t xml:space="preserve">- реализация Плана мероприятий Стратегии охраны и укрепления здоровья населения Кыргызской Республики до 2020 года ("Здоровье-2020") (распоряжение Правительства Кыргызской Республики от 16 марта 2015 года № 106-р);</w:t>
      </w:r>
    </w:p>
    <w:p>
      <w:pPr>
        <w:spacing w:after="60"/>
        <w:ind w:firstLine="567"/>
        <w:jc w:val="both"/>
      </w:pPr>
      <w:r>
        <w:rPr>
          <w:rFonts w:ascii="Arial" w:cs="Arial" w:eastAsia="Arial" w:hAnsi="Arial"/>
          <w:sz w:val="24"/>
          <w:szCs w:val="24"/>
        </w:rPr>
        <w:t xml:space="preserve">- дальнейшая реализация мероприятий Национальной программы реформирования здравоохранения Кыргызской Республики "Ден соолук" на 2012-2016 годы (постановление Правительства Кыргызской Республики от 24 мая 2012 года № 309);</w:t>
      </w:r>
    </w:p>
    <w:p>
      <w:pPr>
        <w:spacing w:after="60"/>
        <w:ind w:firstLine="567"/>
        <w:jc w:val="both"/>
      </w:pPr>
      <w:r>
        <w:rPr>
          <w:rFonts w:ascii="Arial" w:cs="Arial" w:eastAsia="Arial" w:hAnsi="Arial"/>
          <w:sz w:val="24"/>
          <w:szCs w:val="24"/>
        </w:rPr>
        <w:t xml:space="preserve">- внедрение Программы электронного здравоохранения Кыргызской Республики на 2016-2020 годы и создание Национальной базы данных лекарственных средств и изделий медицинского назначения (постановление Правительства Кыргызской Республики от 18 марта 2016 года № 134);</w:t>
      </w:r>
    </w:p>
    <w:p>
      <w:pPr>
        <w:spacing w:after="60"/>
        <w:ind w:firstLine="567"/>
        <w:jc w:val="both"/>
      </w:pPr>
      <w:r>
        <w:rPr>
          <w:rFonts w:ascii="Arial" w:cs="Arial" w:eastAsia="Arial" w:hAnsi="Arial"/>
          <w:sz w:val="24"/>
          <w:szCs w:val="24"/>
        </w:rPr>
        <w:t xml:space="preserve">- реализация задач по интеграции специализированных организаций здравоохранения (психиатрия, онкология, гематология, кардиохирургия) в систему Единого плательщика.</w:t>
      </w:r>
    </w:p>
    <w:p>
      <w:pPr>
        <w:spacing w:after="60"/>
        <w:ind w:firstLine="567"/>
        <w:jc w:val="both"/>
      </w:pPr>
      <w:r>
        <w:rPr>
          <w:rFonts w:ascii="Arial" w:cs="Arial" w:eastAsia="Arial" w:hAnsi="Arial"/>
          <w:sz w:val="24"/>
          <w:szCs w:val="24"/>
        </w:rPr>
        <w:t xml:space="preserve">Основные направления в сфере развития образования и науки отражены в Концепции развития образования в Кыргызской Республике до 2020 года и Стратегии развития образования в Кыргызской Республике на 2012-2020 годы (постановление Правительства Кыргызской Республики от 23 марта 2012 года № 201). Основная стратегическая цель направления "Образование и наука" - предоставление образовательных услуг, соответствующих современному уровню социального, политического и экономического развития страны, обеспечение равного доступа к качественному образованию.</w:t>
      </w:r>
    </w:p>
    <w:p>
      <w:pPr>
        <w:spacing w:after="60"/>
        <w:ind w:firstLine="567"/>
        <w:jc w:val="both"/>
      </w:pPr>
      <w:r>
        <w:rPr>
          <w:rFonts w:ascii="Arial" w:cs="Arial" w:eastAsia="Arial" w:hAnsi="Arial"/>
          <w:sz w:val="24"/>
          <w:szCs w:val="24"/>
        </w:rPr>
        <w:t xml:space="preserve">В 2017 году основное внимание в сфере образования будет направлено на выполнение следующих задач:</w:t>
      </w:r>
    </w:p>
    <w:p>
      <w:pPr>
        <w:spacing w:after="60"/>
        <w:ind w:firstLine="567"/>
        <w:jc w:val="both"/>
      </w:pPr>
      <w:r>
        <w:rPr>
          <w:rFonts w:ascii="Arial" w:cs="Arial" w:eastAsia="Arial" w:hAnsi="Arial"/>
          <w:sz w:val="24"/>
          <w:szCs w:val="24"/>
        </w:rPr>
        <w:t xml:space="preserve">- охват программами развития и обучения большинства детей дошкольного возраста;</w:t>
      </w:r>
    </w:p>
    <w:p>
      <w:pPr>
        <w:spacing w:after="60"/>
        <w:ind w:firstLine="567"/>
        <w:jc w:val="both"/>
      </w:pPr>
      <w:r>
        <w:rPr>
          <w:rFonts w:ascii="Arial" w:cs="Arial" w:eastAsia="Arial" w:hAnsi="Arial"/>
          <w:sz w:val="24"/>
          <w:szCs w:val="24"/>
        </w:rPr>
        <w:t xml:space="preserve">- обеспечение доступа к качественному основному общему и среднему общему образованию для каждого независимо от возраста, пола, этнической, религиозной принадлежности, места жительства, умственного и физического развития, социально-экономического статуса и др.;</w:t>
      </w:r>
    </w:p>
    <w:p>
      <w:pPr>
        <w:spacing w:after="60"/>
        <w:ind w:firstLine="567"/>
        <w:jc w:val="both"/>
      </w:pPr>
      <w:r>
        <w:rPr>
          <w:rFonts w:ascii="Arial" w:cs="Arial" w:eastAsia="Arial" w:hAnsi="Arial"/>
          <w:sz w:val="24"/>
          <w:szCs w:val="24"/>
        </w:rPr>
        <w:t xml:space="preserve">- развитие трудовых навыков в соответствии с современными требованиями рынка труда и запросами населения в удовлетворении собственных потребностей и интересов;</w:t>
      </w:r>
    </w:p>
    <w:p>
      <w:pPr>
        <w:spacing w:after="60"/>
        <w:ind w:firstLine="567"/>
        <w:jc w:val="both"/>
      </w:pPr>
      <w:r>
        <w:rPr>
          <w:rFonts w:ascii="Arial" w:cs="Arial" w:eastAsia="Arial" w:hAnsi="Arial"/>
          <w:sz w:val="24"/>
          <w:szCs w:val="24"/>
        </w:rPr>
        <w:t xml:space="preserve">- развитие социального партнерства на всех уровнях системы образования и активное участие работодателей в образовательном процессе;</w:t>
      </w:r>
    </w:p>
    <w:p>
      <w:pPr>
        <w:spacing w:after="60"/>
        <w:ind w:firstLine="567"/>
        <w:jc w:val="both"/>
      </w:pPr>
      <w:r>
        <w:rPr>
          <w:rFonts w:ascii="Arial" w:cs="Arial" w:eastAsia="Arial" w:hAnsi="Arial"/>
          <w:sz w:val="24"/>
          <w:szCs w:val="24"/>
        </w:rPr>
        <w:t xml:space="preserve">- создание условий для непрерывного образования в течение всей жизни;</w:t>
      </w:r>
    </w:p>
    <w:p>
      <w:pPr>
        <w:spacing w:after="60"/>
        <w:ind w:firstLine="567"/>
        <w:jc w:val="both"/>
      </w:pPr>
      <w:r>
        <w:rPr>
          <w:rFonts w:ascii="Arial" w:cs="Arial" w:eastAsia="Arial" w:hAnsi="Arial"/>
          <w:sz w:val="24"/>
          <w:szCs w:val="24"/>
        </w:rPr>
        <w:t xml:space="preserve">- развитие базы данных для информационного обеспечения науки;</w:t>
      </w:r>
    </w:p>
    <w:p>
      <w:pPr>
        <w:spacing w:after="60"/>
        <w:ind w:firstLine="567"/>
        <w:jc w:val="both"/>
      </w:pPr>
      <w:r>
        <w:rPr>
          <w:rFonts w:ascii="Arial" w:cs="Arial" w:eastAsia="Arial" w:hAnsi="Arial"/>
          <w:sz w:val="24"/>
          <w:szCs w:val="24"/>
        </w:rPr>
        <w:t xml:space="preserve">- формирование проектов государственных программ и заказов;</w:t>
      </w:r>
    </w:p>
    <w:p>
      <w:pPr>
        <w:spacing w:after="60"/>
        <w:ind w:firstLine="567"/>
        <w:jc w:val="both"/>
      </w:pPr>
      <w:r>
        <w:rPr>
          <w:rFonts w:ascii="Arial" w:cs="Arial" w:eastAsia="Arial" w:hAnsi="Arial"/>
          <w:sz w:val="24"/>
          <w:szCs w:val="24"/>
        </w:rPr>
        <w:t xml:space="preserve">- создание системы стратегического планирования и управления в сфере науки;</w:t>
      </w:r>
    </w:p>
    <w:p>
      <w:pPr>
        <w:spacing w:after="60"/>
        <w:ind w:firstLine="567"/>
        <w:jc w:val="both"/>
      </w:pPr>
      <w:r>
        <w:rPr>
          <w:rFonts w:ascii="Arial" w:cs="Arial" w:eastAsia="Arial" w:hAnsi="Arial"/>
          <w:sz w:val="24"/>
          <w:szCs w:val="24"/>
        </w:rPr>
        <w:t xml:space="preserve">- совершенствование законодательной и нормативно-правовой базы науки;</w:t>
      </w:r>
    </w:p>
    <w:p>
      <w:pPr>
        <w:spacing w:after="60"/>
        <w:ind w:firstLine="567"/>
        <w:jc w:val="both"/>
      </w:pPr>
      <w:r>
        <w:rPr>
          <w:rFonts w:ascii="Arial" w:cs="Arial" w:eastAsia="Arial" w:hAnsi="Arial"/>
          <w:sz w:val="24"/>
          <w:szCs w:val="24"/>
        </w:rPr>
        <w:t xml:space="preserve">- создание системы стратегического планирования и управления в секторе образования, основанной на технологиях сбора и анализа, информации;</w:t>
      </w:r>
    </w:p>
    <w:p>
      <w:pPr>
        <w:spacing w:after="60"/>
        <w:ind w:firstLine="567"/>
        <w:jc w:val="both"/>
      </w:pPr>
      <w:r>
        <w:rPr>
          <w:rFonts w:ascii="Arial" w:cs="Arial" w:eastAsia="Arial" w:hAnsi="Arial"/>
          <w:sz w:val="24"/>
          <w:szCs w:val="24"/>
        </w:rPr>
        <w:t xml:space="preserve">- внедрение системы мониторинга и качества образования.</w:t>
      </w:r>
    </w:p>
    <w:p>
      <w:pPr>
        <w:spacing w:after="60"/>
        <w:ind w:firstLine="567"/>
        <w:jc w:val="both"/>
      </w:pPr>
      <w:r>
        <w:rPr>
          <w:rFonts w:ascii="Arial" w:cs="Arial" w:eastAsia="Arial" w:hAnsi="Arial"/>
          <w:sz w:val="24"/>
          <w:szCs w:val="24"/>
        </w:rPr>
        <w:t xml:space="preserve">Политика в сфере развития культуры будет определяться Программой Правительства Кыргызской Республики по развитию сферы культуры до 2020 года (постановление Правительства Кыргызской Республики от 27 октября 2015 года № 736).</w:t>
      </w:r>
    </w:p>
    <w:p>
      <w:pPr>
        <w:spacing w:after="60"/>
        <w:ind w:firstLine="567"/>
        <w:jc w:val="both"/>
      </w:pPr>
      <w:r>
        <w:rPr>
          <w:rFonts w:ascii="Arial" w:cs="Arial" w:eastAsia="Arial" w:hAnsi="Arial"/>
          <w:sz w:val="24"/>
          <w:szCs w:val="24"/>
        </w:rPr>
        <w:t xml:space="preserve">Главной целью Программы является обеспечение развития творческого потенциала нации, сохранение культурных ценностей, традиций и наследия народа как ресурса духовного развития и патриотического воспитания подрастающего поколения, а также приобщение к мировой культуре.</w:t>
      </w:r>
    </w:p>
    <w:p>
      <w:pPr>
        <w:spacing w:after="60"/>
        <w:ind w:firstLine="567"/>
        <w:jc w:val="both"/>
      </w:pPr>
      <w:r>
        <w:rPr>
          <w:rFonts w:ascii="Arial" w:cs="Arial" w:eastAsia="Arial" w:hAnsi="Arial"/>
          <w:sz w:val="24"/>
          <w:szCs w:val="24"/>
        </w:rPr>
        <w:t xml:space="preserve">В 2017 году основное внимание в сфере культуры будет направлено на выполнение следующих задач:</w:t>
      </w:r>
    </w:p>
    <w:p>
      <w:pPr>
        <w:spacing w:after="60"/>
        <w:ind w:firstLine="567"/>
        <w:jc w:val="both"/>
      </w:pPr>
      <w:r>
        <w:rPr>
          <w:rFonts w:ascii="Arial" w:cs="Arial" w:eastAsia="Arial" w:hAnsi="Arial"/>
          <w:sz w:val="24"/>
          <w:szCs w:val="24"/>
        </w:rPr>
        <w:t xml:space="preserve">- создание прогрессивной нормативно правовой базы, стимулирующей деятельность творческих работников;</w:t>
      </w:r>
    </w:p>
    <w:p>
      <w:pPr>
        <w:spacing w:after="60"/>
        <w:ind w:firstLine="567"/>
        <w:jc w:val="both"/>
      </w:pPr>
      <w:r>
        <w:rPr>
          <w:rFonts w:ascii="Arial" w:cs="Arial" w:eastAsia="Arial" w:hAnsi="Arial"/>
          <w:sz w:val="24"/>
          <w:szCs w:val="24"/>
        </w:rPr>
        <w:t xml:space="preserve">- создание привлекательной среды для усиления внимания зрителей к искусству и творческому потенциалу нации путем повышения результативности и эффективности государственного управления сферой культуры;</w:t>
      </w:r>
    </w:p>
    <w:p>
      <w:pPr>
        <w:spacing w:after="60"/>
        <w:ind w:firstLine="567"/>
        <w:jc w:val="both"/>
      </w:pPr>
      <w:r>
        <w:rPr>
          <w:rFonts w:ascii="Arial" w:cs="Arial" w:eastAsia="Arial" w:hAnsi="Arial"/>
          <w:sz w:val="24"/>
          <w:szCs w:val="24"/>
        </w:rPr>
        <w:t xml:space="preserve">- внедрение в деятельность учреждений культуры стандартов качества предоставления услуг;</w:t>
      </w:r>
    </w:p>
    <w:p>
      <w:pPr>
        <w:spacing w:after="60"/>
        <w:ind w:firstLine="567"/>
        <w:jc w:val="both"/>
      </w:pPr>
      <w:r>
        <w:rPr>
          <w:rFonts w:ascii="Arial" w:cs="Arial" w:eastAsia="Arial" w:hAnsi="Arial"/>
          <w:sz w:val="24"/>
          <w:szCs w:val="24"/>
        </w:rPr>
        <w:t xml:space="preserve">- обеспечение развития и модернизации системы инфраструктуры культуры в соответствии со структурой и динамикой реального расселения населения страны;</w:t>
      </w:r>
    </w:p>
    <w:p>
      <w:pPr>
        <w:spacing w:after="60"/>
        <w:ind w:firstLine="567"/>
        <w:jc w:val="both"/>
      </w:pPr>
      <w:r>
        <w:rPr>
          <w:rFonts w:ascii="Arial" w:cs="Arial" w:eastAsia="Arial" w:hAnsi="Arial"/>
          <w:sz w:val="24"/>
          <w:szCs w:val="24"/>
        </w:rPr>
        <w:t xml:space="preserve">- получение мирового признания ценностей отечественных объектов историко-культурного наследия (далее - ИКН) путем их включения в Список Всемирного наследия ЮНЕСКО;</w:t>
      </w:r>
    </w:p>
    <w:p>
      <w:pPr>
        <w:spacing w:after="60"/>
        <w:ind w:firstLine="567"/>
        <w:jc w:val="both"/>
      </w:pPr>
      <w:r>
        <w:rPr>
          <w:rFonts w:ascii="Arial" w:cs="Arial" w:eastAsia="Arial" w:hAnsi="Arial"/>
          <w:sz w:val="24"/>
          <w:szCs w:val="24"/>
        </w:rPr>
        <w:t xml:space="preserve">- создание гармонизированной с международными требованиями нормативно-правовой базы ИКН;</w:t>
      </w:r>
    </w:p>
    <w:p>
      <w:pPr>
        <w:spacing w:after="60"/>
        <w:ind w:firstLine="567"/>
        <w:jc w:val="both"/>
      </w:pPr>
      <w:r>
        <w:rPr>
          <w:rFonts w:ascii="Arial" w:cs="Arial" w:eastAsia="Arial" w:hAnsi="Arial"/>
          <w:sz w:val="24"/>
          <w:szCs w:val="24"/>
        </w:rPr>
        <w:t xml:space="preserve">- проведение на республиканском уровне ревизии, картографирования и цифровой паспортизации объектов ИКН;</w:t>
      </w:r>
    </w:p>
    <w:p>
      <w:pPr>
        <w:spacing w:after="60"/>
        <w:ind w:firstLine="567"/>
        <w:jc w:val="both"/>
      </w:pPr>
      <w:r>
        <w:rPr>
          <w:rFonts w:ascii="Arial" w:cs="Arial" w:eastAsia="Arial" w:hAnsi="Arial"/>
          <w:sz w:val="24"/>
          <w:szCs w:val="24"/>
        </w:rPr>
        <w:t xml:space="preserve">- реализация практических планов по восстановлению и реставрации объектов ИКН;</w:t>
      </w:r>
    </w:p>
    <w:p>
      <w:pPr>
        <w:spacing w:after="60"/>
        <w:ind w:firstLine="567"/>
        <w:jc w:val="both"/>
      </w:pPr>
      <w:r>
        <w:rPr>
          <w:rFonts w:ascii="Arial" w:cs="Arial" w:eastAsia="Arial" w:hAnsi="Arial"/>
          <w:sz w:val="24"/>
          <w:szCs w:val="24"/>
        </w:rPr>
        <w:t xml:space="preserve">- интегрирование туристских маршрутов в маршруты объектов ИКН для развития культурного туризма через создание единой географической карты.</w:t>
      </w:r>
    </w:p>
    <w:p>
      <w:pPr>
        <w:spacing w:after="60"/>
        <w:ind w:firstLine="567"/>
        <w:jc w:val="both"/>
      </w:pPr>
      <w:r>
        <w:rPr>
          <w:rFonts w:ascii="Arial" w:cs="Arial" w:eastAsia="Arial" w:hAnsi="Arial"/>
          <w:sz w:val="24"/>
          <w:szCs w:val="24"/>
        </w:rPr>
        <w:t xml:space="preserve">Учитывая прогнозируемые параметры развития экономики в 2017 году, основные социальные показатели, характеризующие уровень жизни населения, будут складываться следующим образом:</w:t>
      </w:r>
    </w:p>
    <w:p>
      <w:pPr>
        <w:spacing w:after="60"/>
        <w:ind w:firstLine="567"/>
        <w:jc w:val="both"/>
      </w:pPr>
      <w:r>
        <w:rPr>
          <w:rFonts w:ascii="Arial" w:cs="Arial" w:eastAsia="Arial" w:hAnsi="Arial"/>
          <w:sz w:val="24"/>
          <w:szCs w:val="24"/>
        </w:rPr>
        <w:t xml:space="preserve">- объем ВВП на душу населения в 2017 году увеличится относительно 2016 года с 77,7 до 83,0 тыс. сомов, или на 6,8%. В результате развития экономики в 2017 году прогнозируется создание 70,0 тыс. рабочих мест;</w:t>
      </w:r>
    </w:p>
    <w:p>
      <w:pPr>
        <w:spacing w:after="60"/>
        <w:ind w:firstLine="567"/>
        <w:jc w:val="both"/>
      </w:pPr>
      <w:r>
        <w:rPr>
          <w:rFonts w:ascii="Arial" w:cs="Arial" w:eastAsia="Arial" w:hAnsi="Arial"/>
          <w:sz w:val="24"/>
          <w:szCs w:val="24"/>
        </w:rPr>
        <w:t xml:space="preserve">- прогнозируется рост номинальных денежных доходов населения на 8,8% относительно 2016 года, их объем составит 338,7 млрд. сомов. С учетом прогнозируемого роста потребительских цен реальный темп прироста денежных доходов составит 2,7%. В структуре денежных доходов прогнозируется увеличение заработной платы, где номинальный размер возрастет на 7,5% и составит 15420,0 сомов, а в реальном выражении увеличится на 1,4%. Прогнозируется рост номинального размера средней пенсии на 5,9%, с учетом повышения базовой части пенсии, и составит 5330,0 сомов. Прожиточный минимум прогнозируется в размере 5554,4 сома.</w:t>
      </w:r>
    </w:p>
    <w:p>
      <w:pPr>
        <w:spacing w:after="200" w:before="200"/>
        <w:jc w:val="center"/>
      </w:pPr>
      <w:r>
        <w:rPr>
          <w:rFonts w:ascii="Arial" w:cs="Arial" w:eastAsia="Arial" w:hAnsi="Arial"/>
          <w:b/>
          <w:bCs/>
          <w:sz w:val="24"/>
          <w:szCs w:val="24"/>
        </w:rPr>
        <w:t xml:space="preserve">6. Макроэкономический прогноз на 2018-2019 годы</w:t>
      </w:r>
    </w:p>
    <w:p>
      <w:pPr>
        <w:spacing w:after="60"/>
        <w:ind w:firstLine="567"/>
        <w:jc w:val="both"/>
      </w:pPr>
      <w:r>
        <w:rPr>
          <w:rFonts w:ascii="Arial" w:cs="Arial" w:eastAsia="Arial" w:hAnsi="Arial"/>
          <w:sz w:val="24"/>
          <w:szCs w:val="24"/>
        </w:rPr>
        <w:t xml:space="preserve">В 2018-2019 годы главными целями экономической политики будут закрепление наметившихся позитивных тенденций в социально-экономическом развитии, упреждение ожидаемых проблем и обеспечение устойчивого экономического роста.</w:t>
      </w:r>
    </w:p>
    <w:p>
      <w:pPr>
        <w:spacing w:after="60"/>
        <w:ind w:firstLine="567"/>
        <w:jc w:val="both"/>
      </w:pPr>
      <w:r>
        <w:rPr>
          <w:rFonts w:ascii="Arial" w:cs="Arial" w:eastAsia="Arial" w:hAnsi="Arial"/>
          <w:sz w:val="24"/>
          <w:szCs w:val="24"/>
        </w:rPr>
        <w:t xml:space="preserve">Целевые макроэкономические показатели будут достигаться через продолжение реализации крупных национальных проектов, эффективное управление государственными активами страны, реформирование системы государственного регулирования для стимулирования экономического роста.</w:t>
      </w:r>
    </w:p>
    <w:p>
      <w:pPr>
        <w:spacing w:after="60" w:before="120"/>
        <w:ind w:firstLine="567"/>
        <w:jc w:val="right"/>
      </w:pPr>
      <w:r>
        <w:rPr>
          <w:rFonts w:ascii="Arial" w:cs="Arial" w:eastAsia="Arial" w:hAnsi="Arial"/>
          <w:sz w:val="24"/>
          <w:szCs w:val="24"/>
        </w:rPr>
        <w:t xml:space="preserve">Таблица 17</w:t>
      </w:r>
    </w:p>
    <w:p>
      <w:pPr>
        <w:spacing w:after="200" w:before="200"/>
        <w:jc w:val="center"/>
      </w:pPr>
      <w:r>
        <w:rPr>
          <w:rFonts w:ascii="Arial" w:cs="Arial" w:eastAsia="Arial" w:hAnsi="Arial"/>
          <w:b/>
          <w:bCs/>
          <w:sz w:val="32"/>
          <w:szCs w:val="32"/>
        </w:rPr>
        <w:t xml:space="preserve">Реальные вклады секторов производства ВВП на 2018-2019 годы,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78"/>
        <w:gridCol w:w="1460"/>
        <w:gridCol w:w="1460"/>
        <w:gridCol w:w="1460"/>
        <w:gridCol w:w="1460"/>
        <w:gridCol w:w="1462"/>
      </w:tblGrid>
      <w:tr>
        <w:tc>
          <w:tcPr>
            <w:tcW w:type="dxa" w:w="28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прогноз</w:t>
            </w:r>
          </w:p>
        </w:tc>
        <w:tc>
          <w:tcPr>
            <w:tcW w:type="dxa" w:w="14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 прогноз</w:t>
            </w:r>
          </w:p>
        </w:tc>
        <w:tc>
          <w:tcPr>
            <w:tcW w:type="dxa" w:w="14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Средний удельный вес на 2018-2019 гг.</w:t>
            </w:r>
          </w:p>
        </w:tc>
        <w:tc>
          <w:tcPr>
            <w:tcW w:type="dxa" w:w="14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Средний темп роста на 2018-2019 гг.</w:t>
            </w:r>
          </w:p>
        </w:tc>
        <w:tc>
          <w:tcPr>
            <w:tcW w:type="dxa" w:w="14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Вклад в прирост ВВП на 2018-2019 гг.</w:t>
            </w:r>
          </w:p>
        </w:tc>
      </w:tr>
      <w:tr>
        <w:tc>
          <w:tcPr>
            <w:tcW w:type="dxa" w:w="28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0,31</w:t>
            </w:r>
          </w:p>
        </w:tc>
      </w:tr>
      <w:tr>
        <w:tc>
          <w:tcPr>
            <w:tcW w:type="dxa" w:w="28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13,59</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13,32</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13,46</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8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99,0</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8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0,39</w:t>
            </w:r>
          </w:p>
        </w:tc>
      </w:tr>
      <w:tr>
        <w:tc>
          <w:tcPr>
            <w:tcW w:type="dxa" w:w="28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13,34</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13,06</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13,20</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8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8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w:t>
            </w:r>
          </w:p>
        </w:tc>
      </w:tr>
      <w:tr>
        <w:tc>
          <w:tcPr>
            <w:tcW w:type="dxa" w:w="28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9,62</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9,89</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8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112,3</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112,7</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112,5</w:t>
            </w:r>
          </w:p>
        </w:tc>
        <w:tc>
          <w:tcPr>
            <w:tcW w:type="dxa" w:w="1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8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w:t>
            </w:r>
          </w:p>
        </w:tc>
      </w:tr>
      <w:tr>
        <w:tc>
          <w:tcPr>
            <w:tcW w:type="dxa" w:w="28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51,43</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51,47</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51,45</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8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8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Налоги на продукты и импорт</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r>
        <w:tc>
          <w:tcPr>
            <w:tcW w:type="dxa" w:w="28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12,02</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12,01</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8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ВВП, %</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r>
      <w:tr>
        <w:tc>
          <w:tcPr>
            <w:tcW w:type="dxa" w:w="28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ВВП</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Исходя из ожидаемых показателей социально-экономического развития Кыргызской Республики в 2016 году и прогнозируемых показателей на 2017 год, среднегодовой реальный рост ВВП на 2018-2019 годы прогнозируется на уровне 4,2%.</w:t>
      </w:r>
    </w:p>
    <w:p>
      <w:pPr>
        <w:spacing w:after="60"/>
        <w:ind w:firstLine="567"/>
        <w:jc w:val="both"/>
      </w:pPr>
      <w:r>
        <w:rPr>
          <w:rFonts w:ascii="Arial" w:cs="Arial" w:eastAsia="Arial" w:hAnsi="Arial"/>
          <w:sz w:val="24"/>
          <w:szCs w:val="24"/>
        </w:rPr>
        <w:t xml:space="preserve">В секторальном разрезе в 2018-2019 годах прогнозируемые среднегодовые темпы прироста составят: в сельском хозяйстве - 2,9%, в промышленности - 2,3%, в строительстве - 12,5%, в сфере предоставления услуг - 3,6%.</w:t>
      </w:r>
    </w:p>
    <w:p>
      <w:pPr>
        <w:spacing w:after="60"/>
        <w:ind w:firstLine="567"/>
        <w:jc w:val="both"/>
      </w:pPr>
      <w:r>
        <w:rPr>
          <w:rFonts w:ascii="Arial" w:cs="Arial" w:eastAsia="Arial" w:hAnsi="Arial"/>
          <w:sz w:val="24"/>
          <w:szCs w:val="24"/>
        </w:rPr>
        <w:t xml:space="preserve">На 2018-2019 годы рост ВВП прогнозируется в основном за счет Чуйской, Джалал-Абадской, Иссык-Кульской, Ошской областей и города Бишкек.</w:t>
      </w:r>
    </w:p>
    <w:p>
      <w:pPr>
        <w:spacing w:after="60"/>
        <w:ind w:firstLine="567"/>
        <w:jc w:val="both"/>
      </w:pPr>
      <w:r>
        <w:rPr>
          <w:rFonts w:ascii="Arial" w:cs="Arial" w:eastAsia="Arial" w:hAnsi="Arial"/>
          <w:sz w:val="24"/>
          <w:szCs w:val="24"/>
        </w:rPr>
        <w:t xml:space="preserve">В целом на период 2018-2019 годов уровень инфляции прогнозируется на уровне однозначных показателей, при условии отсутствия шоков, в основу заложено продолжение проведения согласованной денежно-кредитной и бюджетно-налоговой политики, направленной на укрепление тенденций макроэкономической стабильности. При этом основной целью денежно-кредитной политики останется достижение и поддержание стабильности цен.</w:t>
      </w:r>
    </w:p>
    <w:p>
      <w:pPr>
        <w:spacing w:after="60"/>
        <w:ind w:firstLine="567"/>
        <w:jc w:val="both"/>
      </w:pPr>
      <w:r>
        <w:rPr>
          <w:rFonts w:ascii="Arial" w:cs="Arial" w:eastAsia="Arial" w:hAnsi="Arial"/>
          <w:sz w:val="24"/>
          <w:szCs w:val="24"/>
        </w:rPr>
        <w:t xml:space="preserve">Основные направления денежно-кредитной, налогово-бюджетной, инвестиционной, социальной политики будут осуществляться в соответствии с принятыми совместными заявлениями Правительства Кыргызской Республики и Национального банка Кыргызской Республики об экономической политике на каждый предстоящий год.</w:t>
      </w:r>
    </w:p>
    <w:p>
      <w:pPr>
        <w:spacing w:after="60"/>
        <w:ind w:firstLine="567"/>
        <w:jc w:val="both"/>
      </w:pPr>
      <w:r>
        <w:rPr>
          <w:rFonts w:ascii="Arial" w:cs="Arial" w:eastAsia="Arial" w:hAnsi="Arial"/>
          <w:sz w:val="24"/>
          <w:szCs w:val="24"/>
        </w:rPr>
        <w:t xml:space="preserve">Во всех секторах экономики прогнозируются положительные темпы роста.</w:t>
      </w:r>
    </w:p>
    <w:p>
      <w:pPr>
        <w:spacing w:after="60"/>
        <w:ind w:firstLine="567"/>
        <w:jc w:val="both"/>
      </w:pPr>
      <w:r>
        <w:rPr>
          <w:rFonts w:ascii="Arial" w:cs="Arial" w:eastAsia="Arial" w:hAnsi="Arial"/>
          <w:b/>
          <w:bCs/>
          <w:sz w:val="24"/>
          <w:szCs w:val="24"/>
        </w:rPr>
        <w:t xml:space="preserve">Сфера услуг</w:t>
      </w:r>
      <w:r>
        <w:rPr>
          <w:rFonts w:ascii="Arial" w:cs="Arial" w:eastAsia="Arial" w:hAnsi="Arial"/>
          <w:sz w:val="24"/>
          <w:szCs w:val="24"/>
        </w:rPr>
        <w:t xml:space="preserve">. Среднегодовой рост сферы услуг в 2018-2019 годы составит 103,6%, что позволит увеличить долю с 51,07% в 2016 году до 51,47% в 2019 году. Рост сферы услуг будет поддержан ростом внутреннего потребления, обусловленного ростом реальных денежных доходов населения на 3,9% в среднем в год, а также возобновлением внешнего спроса вследствие восстановления экономики стран - основных торговых партнеров.</w:t>
      </w:r>
    </w:p>
    <w:p>
      <w:pPr>
        <w:spacing w:after="60"/>
        <w:ind w:firstLine="567"/>
        <w:jc w:val="both"/>
      </w:pPr>
      <w:r>
        <w:rPr>
          <w:rFonts w:ascii="Arial" w:cs="Arial" w:eastAsia="Arial" w:hAnsi="Arial"/>
          <w:sz w:val="24"/>
          <w:szCs w:val="24"/>
        </w:rPr>
        <w:t xml:space="preserve">Рост услуг, в основном, будет обеспечен развитием рыночных видов услуг, средний рост которых составит 104,4% в год, с постепенным увеличением их доли в структуре сферы услуг почти до 76,4%. Среднегодовой темп роста нерыночных видов услуг составит 101,4%.</w:t>
      </w:r>
    </w:p>
    <w:p>
      <w:pPr>
        <w:spacing w:after="60"/>
        <w:ind w:firstLine="567"/>
        <w:jc w:val="both"/>
      </w:pPr>
      <w:r>
        <w:rPr>
          <w:rFonts w:ascii="Arial" w:cs="Arial" w:eastAsia="Arial" w:hAnsi="Arial"/>
          <w:sz w:val="24"/>
          <w:szCs w:val="24"/>
        </w:rPr>
        <w:t xml:space="preserve">Среднегодовой темп реального роста оптовой и розничной торговли; ремонт автомобилей и мотоциклов прогнозируется на уровне 5,6%, а удельный вес увеличится в структуре сферы услуг с 35,7% в 2017 году до 37% к 2019 году.</w:t>
      </w:r>
    </w:p>
    <w:p>
      <w:pPr>
        <w:spacing w:after="60"/>
        <w:ind w:firstLine="567"/>
        <w:jc w:val="both"/>
      </w:pPr>
      <w:r>
        <w:rPr>
          <w:rFonts w:ascii="Arial" w:cs="Arial" w:eastAsia="Arial" w:hAnsi="Arial"/>
          <w:sz w:val="24"/>
          <w:szCs w:val="24"/>
        </w:rPr>
        <w:t xml:space="preserve">Основные направления развития будут направлены на: (1) улучшение интеграции в торговые потоки ЕАЭС; (2) создание условий для улучшения конкурентоспобности на рынках ЕАЭС; (3) обеспечение для населения экономической доступности потребительского рынка в цивилизованных формах его организации; (4) повышение статуса и компетенции уполномоченных органов исполнительной власти и местного самоуправления в сфере торговли.</w:t>
      </w:r>
    </w:p>
    <w:p>
      <w:pPr>
        <w:spacing w:after="60"/>
        <w:ind w:firstLine="567"/>
        <w:jc w:val="both"/>
      </w:pPr>
      <w:r>
        <w:rPr>
          <w:rFonts w:ascii="Arial" w:cs="Arial" w:eastAsia="Arial" w:hAnsi="Arial"/>
          <w:sz w:val="24"/>
          <w:szCs w:val="24"/>
        </w:rPr>
        <w:t xml:space="preserve">Другим важным направлением развития рыночных услуг является развитие услуг транспортной деятельности и хранения грузов, где прогнозируется реальный рост на 5,6% в среднем за год, с удельным весом 11,6% в общем объеме услуг.</w:t>
      </w:r>
    </w:p>
    <w:p>
      <w:pPr>
        <w:spacing w:after="60"/>
        <w:ind w:firstLine="567"/>
        <w:jc w:val="both"/>
      </w:pPr>
      <w:r>
        <w:rPr>
          <w:rFonts w:ascii="Arial" w:cs="Arial" w:eastAsia="Arial" w:hAnsi="Arial"/>
          <w:sz w:val="24"/>
          <w:szCs w:val="24"/>
        </w:rPr>
        <w:t xml:space="preserve">В сфере услуг основным направлением будет развитие туристской индустрии, сфокусированной на следующих приоритетных направлениях: (1) повышение эффективности государственного регулирования развития туристской индустрии; (2) содействие повышению качества и диверсификации туристских услуг и продуктов.</w:t>
      </w:r>
    </w:p>
    <w:p>
      <w:pPr>
        <w:spacing w:after="60"/>
        <w:ind w:firstLine="567"/>
        <w:jc w:val="both"/>
      </w:pPr>
      <w:r>
        <w:rPr>
          <w:rFonts w:ascii="Arial" w:cs="Arial" w:eastAsia="Arial" w:hAnsi="Arial"/>
          <w:sz w:val="24"/>
          <w:szCs w:val="24"/>
        </w:rPr>
        <w:t xml:space="preserve">Прирост промышленного производства (без учета стоимости переработанного давальческого сырья) в 2018-2019 годах прогнозируется в среднем за год на уровне 103,0% за счет устойчивой работы действующих промышленных предприятий, возобновления простаивающих производств, наращивания объемов на месторождениях Кумтор, Талды-Булак-Левобережный, Бозымчак, Иштамберди, Кара-Казык, выхода на проектную производственную мощность нефтеперерабатывающих заводов в городах Кара-Балта и Токмак. Прогнозируется увеличение объемов обеспечения электроэнергией, газом, паром и кондиционированным воздухом на 2,9% в среднем в год в связи с планируемым вводом новых мощностей (2 агрегат Камбаратинской ГЭС-2 - около 100 МВт, реабилитацией Токтогульской и Атбашинской гидроэлектростанций). Реализация проектов "Строительство 2-ой очереди на подстанции 110/35/10 кВ "Костромская" с установкой трансформатора Т-2 мощностью 25 MBА", "Строительство новой ПС 110/10 кВ "Медерова" с установкой двух .трансформаторов мощностью 2x40 МВА", "Строительство 2-ой очереди на подстанции 220/110/10 кВ "Кристалл" с установкой автотрансформатора Т-2 мощностью 63 МВА", "Строительство 2-ой очереди на подстанции 110 кВ "Таш-Булак" с установкой трансформатора Т-2 мощностью 25 МВА", "Строительство новой ПС 110/10 кВ "Орто-Сай" с установкой двух трансформаторов мощностью по 40 МВА, гор. Бишкек", "Строительство новой подстанции 110/35/10 кВ "Ак Босого" с установкой двух трансформаторов мощностью по 25 МВА, гор. Бишкек", "Строительство второй очереди ПС 110/35/10 кВ "Токтогул" с установкой трансформатора мощностью 10 МВА", "Строительство второй очереди подстанции 220/110/10кВ "Айгуль-Таш" с установкой автотрансформатора мощностью 125 МВА", "Строительство ВЛ 220 кВ протяженностью 43 км и Строительство высоковольтной линии-110 кВ протяженностью 50 км для выдачи мощности Верхне-Нарынского каскада гидроэлектростанции, Нарынская область", "Повышение подотчетности и надежности электроснабжения" (Всемирный банк) позволит повысить эффективность работы энергетического сектора.</w:t>
      </w:r>
    </w:p>
    <w:p>
      <w:pPr>
        <w:spacing w:after="60"/>
        <w:ind w:firstLine="567"/>
        <w:jc w:val="both"/>
      </w:pPr>
      <w:r>
        <w:rPr>
          <w:rFonts w:ascii="Arial" w:cs="Arial" w:eastAsia="Arial" w:hAnsi="Arial"/>
          <w:sz w:val="24"/>
          <w:szCs w:val="24"/>
        </w:rPr>
        <w:t xml:space="preserve">Реализация Генеральной схемы газоснабжения - это масштабный проект, который существенно повысит надежность поставок газа потребителям. В 2019 году поступление природного газа в Кыргызскую Республику прогнозируется в объеме 539 млн. м</w:t>
      </w:r>
      <w:r>
        <w:rPr>
          <w:rFonts w:ascii="Arial" w:cs="Arial" w:eastAsia="Arial" w:hAnsi="Arial"/>
          <w:sz w:val="24"/>
          <w:szCs w:val="24"/>
        </w:rPr>
        <w:t xml:space="preserve">3</w:t>
      </w:r>
      <w:r>
        <w:rPr>
          <w:rFonts w:ascii="Arial" w:cs="Arial" w:eastAsia="Arial" w:hAnsi="Arial"/>
          <w:sz w:val="24"/>
          <w:szCs w:val="24"/>
        </w:rPr>
        <w:t xml:space="preserve">, что на 33,4% больше по сравнению с 2017 годом. Это позволит увеличить объем услуг распределения газообразного топлива через системы газоснабжения в среднем в год на 8,4% в 2018-2019 годах. При этом уровень газификации в стране к 2030 году вырастет с 22% до 60%.</w:t>
      </w:r>
    </w:p>
    <w:p>
      <w:pPr>
        <w:spacing w:after="60"/>
        <w:ind w:firstLine="567"/>
        <w:jc w:val="both"/>
      </w:pPr>
      <w:r>
        <w:rPr>
          <w:rFonts w:ascii="Arial" w:cs="Arial" w:eastAsia="Arial" w:hAnsi="Arial"/>
          <w:sz w:val="24"/>
          <w:szCs w:val="24"/>
        </w:rPr>
        <w:t xml:space="preserve">В 2018-2019 годах прогнозируется увеличение реальных темпов роста сельского хозяйства в среднем на 2,9% за счет принимаемых государством и частным сектором мер по увеличению урожайности растениеводства и продуктивности животноводства. Будут реализованы мероприятия для достижения реальных темпов роста сельскохозяйственной отрасли: 1) оптимизация посевных площадей путем систематического увеличения посевов площадей тех культур, которые пользуются наибольшим спросом в государствах-членах ЕАЭС, в особенности овощей, картофеля, сахарной свеклы, табака и хлопка, за счет постепенного сокращения посевов пшеницы; 2) активное использование систем капельного орошения; 3) дальнейшее развитие тепличных хозяйств; 4) использование передовых технологий возделывания сельскохозяйственных культур, применение органических, минеральных и органоминеральных удобрений для увеличения объемов экспорта сельскохозяйственной продукции; 5) продолжение обеспечения фермеров необходимой сельхозтехникой на льготных кредитных условиях путем закупок сельхозтехники по лизингу; 6) рациональное использование генофонда сельскохозяйственных животных и домашней птицы, повышение эффективности селекционно-племенной работы и пунктов искусственного осеменения животных с использованием ценного генетического материала; 7) увеличение объемов заготовки всех видов кормов.</w:t>
      </w:r>
    </w:p>
    <w:p>
      <w:pPr>
        <w:spacing w:after="60"/>
        <w:ind w:firstLine="567"/>
        <w:jc w:val="both"/>
      </w:pPr>
      <w:r>
        <w:rPr>
          <w:rFonts w:ascii="Arial" w:cs="Arial" w:eastAsia="Arial" w:hAnsi="Arial"/>
          <w:sz w:val="24"/>
          <w:szCs w:val="24"/>
        </w:rPr>
        <w:t xml:space="preserve">В 2018-2019 годах приоритетными направлениями развития строительной отрасли будут: а) создание институциональной структуры, обеспечивающей разработку политики, направленной на поступательное увеличение экономической доступности населению к сейсмически безопасному комфортному жилью, при улучшении энергоэффективности и уменьшении эмиссии углерода в зданиях; б) повышение кадрового потенциала в области управления, проектирования, строительства и инновационных мероприятий, обеспечивающих снижение потребления энергии вводимых зданий к 2019 году на 30-40% по сравнению с современным состоянием.</w:t>
      </w:r>
    </w:p>
    <w:p>
      <w:pPr>
        <w:spacing w:after="60"/>
        <w:ind w:firstLine="567"/>
        <w:jc w:val="both"/>
      </w:pPr>
      <w:r>
        <w:rPr>
          <w:rFonts w:ascii="Arial" w:cs="Arial" w:eastAsia="Arial" w:hAnsi="Arial"/>
          <w:sz w:val="24"/>
          <w:szCs w:val="24"/>
        </w:rPr>
        <w:t xml:space="preserve">Для реализации этих направлений будут приняты следующие основные меры: создание в строительной отрасли системы управления сейсмической безопасностью и экономической доступностью жилья для населения; разработка механизмов введения жестких санкций за несоблюдение норм и стандартов сейсмостойкости и энергоэффективности; разработка и введение в действие учебной программы "Строительный сектор для устойчивого развития" в системе повышения квалификации специалистов государственного управления в строительстве и т.д.</w:t>
      </w:r>
    </w:p>
    <w:p>
      <w:pPr>
        <w:spacing w:after="60"/>
        <w:ind w:firstLine="567"/>
        <w:jc w:val="both"/>
      </w:pPr>
      <w:r>
        <w:rPr>
          <w:rFonts w:ascii="Arial" w:cs="Arial" w:eastAsia="Arial" w:hAnsi="Arial"/>
          <w:sz w:val="24"/>
          <w:szCs w:val="24"/>
        </w:rPr>
        <w:t xml:space="preserve">В 2018-2019 годах расходы на капитальные вложения в приоритетном порядке будут направлены на строительство и реконструкцию объектов социального значения, а также строительство и реконструкцию автодорог и объектов энергетики в республике.</w:t>
      </w:r>
    </w:p>
    <w:p>
      <w:pPr>
        <w:spacing w:after="60"/>
        <w:ind w:firstLine="567"/>
        <w:jc w:val="both"/>
      </w:pPr>
      <w:r>
        <w:rPr>
          <w:rFonts w:ascii="Arial" w:cs="Arial" w:eastAsia="Arial" w:hAnsi="Arial"/>
          <w:sz w:val="24"/>
          <w:szCs w:val="24"/>
        </w:rPr>
        <w:t xml:space="preserve">Общий объем капитальных вложений из всех источников финансирования в 2018-2019 годах возрастет в среднем на 12,7% (с 181,6 млрд. сомов в 2018 году до 212,4 млрд. сомов в 2019 году). Структура капитальных вложений, относительно прогнозируемой в 2017 году изменится в сторону снижения доли внутренних инвестиций до 51,0% от общего объема капитальных вложений в 2019 году, и соответственно, увеличения доли внешних инвестиций до 49%, которая связана с привлечением иностранных кредитов на объекты строительства энергетики и осуществление реконструкции автомобильных дорог.</w:t>
      </w:r>
    </w:p>
    <w:p>
      <w:pPr>
        <w:spacing w:after="60"/>
        <w:ind w:firstLine="567"/>
        <w:jc w:val="both"/>
      </w:pPr>
      <w:r>
        <w:rPr>
          <w:rFonts w:ascii="Arial" w:cs="Arial" w:eastAsia="Arial" w:hAnsi="Arial"/>
          <w:sz w:val="24"/>
          <w:szCs w:val="24"/>
        </w:rPr>
        <w:t xml:space="preserve">В строительном секторе прогнозируется темп реального прироста на уровне 9,9% в среднем за год. Влияние строительного сектора на темпы экономического роста будет положительным и составит в среднем 1,17 процентного пункта.</w:t>
      </w:r>
    </w:p>
    <w:p>
      <w:pPr>
        <w:spacing w:after="60"/>
        <w:ind w:firstLine="567"/>
        <w:jc w:val="both"/>
      </w:pPr>
      <w:r>
        <w:rPr>
          <w:rFonts w:ascii="Arial" w:cs="Arial" w:eastAsia="Arial" w:hAnsi="Arial"/>
          <w:sz w:val="24"/>
          <w:szCs w:val="24"/>
        </w:rPr>
        <w:t xml:space="preserve">Проводимая государством политика в области привлечения инвестиций позволит увеличить уровень частных инвестиций до 26,4% к ВВП в 2019 году. Валовые инвестиции в экономику увеличатся до 32,6% к ВВП в 2019 году, что будет способствовать экономическому росту в среднем на 4,2% в 2018-2019 годах.</w:t>
      </w:r>
    </w:p>
    <w:p>
      <w:pPr>
        <w:spacing w:after="60"/>
        <w:ind w:firstLine="567"/>
        <w:jc w:val="both"/>
      </w:pPr>
      <w:r>
        <w:rPr>
          <w:rFonts w:ascii="Arial" w:cs="Arial" w:eastAsia="Arial" w:hAnsi="Arial"/>
          <w:sz w:val="24"/>
          <w:szCs w:val="24"/>
        </w:rPr>
        <w:t xml:space="preserve">Прогнозируется увеличение доли частного потребления с 87,1% к ВВП в 2016 году до 88,0% в 2019 году, обусловленное ростом денежных доходов в номинальном выражении на 3,9% в среднем в год.</w:t>
      </w:r>
    </w:p>
    <w:p>
      <w:pPr>
        <w:spacing w:after="60" w:before="120"/>
        <w:ind w:firstLine="567"/>
        <w:jc w:val="right"/>
      </w:pPr>
      <w:r>
        <w:rPr>
          <w:rFonts w:ascii="Arial" w:cs="Arial" w:eastAsia="Arial" w:hAnsi="Arial"/>
          <w:sz w:val="24"/>
          <w:szCs w:val="24"/>
        </w:rPr>
        <w:t xml:space="preserve">Таблица 18</w:t>
      </w:r>
    </w:p>
    <w:p>
      <w:pPr>
        <w:spacing w:after="200" w:before="200"/>
        <w:jc w:val="center"/>
      </w:pPr>
      <w:r>
        <w:rPr>
          <w:rFonts w:ascii="Arial" w:cs="Arial" w:eastAsia="Arial" w:hAnsi="Arial"/>
          <w:b/>
          <w:bCs/>
          <w:sz w:val="32"/>
          <w:szCs w:val="32"/>
        </w:rPr>
        <w:t xml:space="preserve">Использование ВВП в 2018-2019 годах,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37"/>
        <w:gridCol w:w="1620"/>
        <w:gridCol w:w="1620"/>
      </w:tblGrid>
      <w:tr>
        <w:tc>
          <w:tcPr>
            <w:tcW w:type="dxa" w:w="693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16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w:t>
            </w:r>
          </w:p>
        </w:tc>
        <w:tc>
          <w:tcPr>
            <w:tcW w:type="dxa" w:w="16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w:t>
            </w:r>
          </w:p>
        </w:tc>
      </w:tr>
      <w:tr>
        <w:tc>
          <w:tcPr>
            <w:vMerge w:val="continue"/>
            <w:tcBorders>
              <w:top w:val="single" w:color="CBBF9E" w:sz="4"/>
              <w:left w:val="single" w:color="CBBF9E" w:sz="4"/>
              <w:bottom w:val="single" w:color="CBBF9E" w:sz="4"/>
              <w:right w:val="single" w:color="CBBF9E" w:sz="4"/>
            </w:tcBorders>
          </w:tcP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Потребление</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87,9</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88,0</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ПГИ (внешние)</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(товары и нефакторные услуги)</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32,8</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(товары и нефакторные услуги)</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69,5</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68,9</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-36,4</w:t>
            </w:r>
          </w:p>
        </w:tc>
      </w:tr>
    </w:tbl>
    <w:p>
      <w:pPr>
        <w:spacing w:after="60" w:before="120"/>
        <w:ind w:firstLine="567"/>
        <w:jc w:val="both"/>
      </w:pPr>
      <w:r>
        <w:rPr>
          <w:rFonts w:ascii="Arial" w:cs="Arial" w:eastAsia="Arial" w:hAnsi="Arial"/>
          <w:sz w:val="24"/>
          <w:szCs w:val="24"/>
        </w:rPr>
        <w:t xml:space="preserve">Основными факторами, влияющими на развитие внешнеэкономической деятельности в 2018-2019 годах, будут: (1) преимущества членства республики в ВТО; (2) полное функционирование в интеграционном объединении ЕАЭС; (3) двустороннее сотрудничество на взаимовыгодной основе; (4) возрастающее значение экспорта услуг, в т.ч. туристических.</w:t>
      </w:r>
    </w:p>
    <w:p>
      <w:pPr>
        <w:spacing w:after="60"/>
        <w:ind w:firstLine="567"/>
        <w:jc w:val="both"/>
      </w:pPr>
      <w:r>
        <w:rPr>
          <w:rFonts w:ascii="Arial" w:cs="Arial" w:eastAsia="Arial" w:hAnsi="Arial"/>
          <w:sz w:val="24"/>
          <w:szCs w:val="24"/>
        </w:rPr>
        <w:t xml:space="preserve">Объем внешнеторгового оборота в 2018-2019 годах будет расти в среднем на 4,1% ежегодно и в 2019 году достигнет уровня 6,5 млрд. долл. США.</w:t>
      </w:r>
    </w:p>
    <w:p>
      <w:pPr>
        <w:spacing w:after="60"/>
        <w:ind w:firstLine="567"/>
        <w:jc w:val="both"/>
      </w:pPr>
      <w:r>
        <w:rPr>
          <w:rFonts w:ascii="Arial" w:cs="Arial" w:eastAsia="Arial" w:hAnsi="Arial"/>
          <w:sz w:val="24"/>
          <w:szCs w:val="24"/>
        </w:rPr>
        <w:t xml:space="preserve">Прогнозируется, что номинальный объем экспорта увеличится до 2,1 млрд. долл. США и вырастет по сравнению с 2018 годом на 7,7%. В 2019 году большой вклад в рост экспорта внесут экспортные поставки золота, которые вырастут на 9,3% по сравнению с 2018 годом. Рост экспорта, без учета золота, в среднем составит 4,3%, что будет обусловлено ростом экспортных поставок продукции сельскохозяйственного происхождения (овощи и фрукты - на 8,2% в среднем за год), строительных материалов (стекло листовое - в среднем на 9,5%) и предметов одежды и их принадлежностей (на 13,7% в среднем за год).</w:t>
      </w:r>
    </w:p>
    <w:p>
      <w:pPr>
        <w:spacing w:after="60"/>
        <w:ind w:firstLine="567"/>
        <w:jc w:val="both"/>
      </w:pPr>
      <w:r>
        <w:rPr>
          <w:rFonts w:ascii="Arial" w:cs="Arial" w:eastAsia="Arial" w:hAnsi="Arial"/>
          <w:sz w:val="24"/>
          <w:szCs w:val="24"/>
        </w:rPr>
        <w:t xml:space="preserve">Увеличение импортных поступлений в страну прогнозируется на 2.4% в среднем в год и достигнет уровня 4,4 млрд. долл. США в 2019 году. Рост импорта будет обусловлен увеличением объема ввоза нефтепродуктов, уровень которого по отношению к 2017 году составит 102,4%, электрических машин, оборудования и аппаратуры - на 5,6%, природного газа - на 22,4%, машин и оборудования для промышленности - на 5,5%.</w:t>
      </w:r>
    </w:p>
    <w:p>
      <w:pPr>
        <w:spacing w:after="60"/>
        <w:ind w:firstLine="567"/>
        <w:jc w:val="both"/>
      </w:pPr>
      <w:r>
        <w:rPr>
          <w:rFonts w:ascii="Arial" w:cs="Arial" w:eastAsia="Arial" w:hAnsi="Arial"/>
          <w:sz w:val="24"/>
          <w:szCs w:val="24"/>
        </w:rPr>
        <w:t xml:space="preserve">В результате отрицательное сальдо торгового баланса улучшится с 2,4 млрд. долл. США в 2017 году до 2,3 млрд. долл. США в 2019 году.</w:t>
      </w:r>
    </w:p>
    <w:p>
      <w:pPr>
        <w:spacing w:after="60"/>
        <w:ind w:firstLine="567"/>
        <w:jc w:val="both"/>
      </w:pPr>
      <w:r>
        <w:rPr>
          <w:rFonts w:ascii="Arial" w:cs="Arial" w:eastAsia="Arial" w:hAnsi="Arial"/>
          <w:sz w:val="24"/>
          <w:szCs w:val="24"/>
        </w:rPr>
        <w:t xml:space="preserve">Отрицательное сальдо чистого экспорта товаров и услуг к ВВП улучшится с (-)36,8% в 2018 году до (-)36,4% в 2019 году.</w:t>
      </w:r>
    </w:p>
    <w:p>
      <w:pPr>
        <w:spacing w:after="60"/>
        <w:ind w:firstLine="567"/>
        <w:jc w:val="both"/>
      </w:pPr>
      <w:r>
        <w:rPr>
          <w:rFonts w:ascii="Arial" w:cs="Arial" w:eastAsia="Arial" w:hAnsi="Arial"/>
          <w:sz w:val="24"/>
          <w:szCs w:val="24"/>
        </w:rPr>
        <w:t xml:space="preserve">Политика социального развития в 2018-2019 годах также будет сконцентрирована на выполнении в полном объеме гарантированных социальных обязательств государства, на повышении уровня жизни населения и улучшении положения социально незащищенных категорий граждан, с учетом реальных возможностей государства.</w:t>
      </w:r>
    </w:p>
    <w:p>
      <w:pPr>
        <w:spacing w:after="60"/>
        <w:ind w:firstLine="567"/>
        <w:jc w:val="both"/>
      </w:pPr>
      <w:r>
        <w:rPr>
          <w:rFonts w:ascii="Arial" w:cs="Arial" w:eastAsia="Arial" w:hAnsi="Arial"/>
          <w:sz w:val="24"/>
          <w:szCs w:val="24"/>
        </w:rPr>
        <w:t xml:space="preserve">Основные приоритетные направления деятельности определены в Программе содействия занятости населения и регулирования внутренней и внешней трудовой миграции до 2020 года (постановление Правительства Кыргызской Республики от 6 сентября 2013 года № 485). Будет обеспечена преемственность ценностей и принципов социальной справедливости, заложенных в Программе развития социальной защиты населения Кыргызской Республики на 2015-2017 годы (постановление Правительства Кыргызской Республики от 27 февраля 2015 года № 85).</w:t>
      </w:r>
    </w:p>
    <w:p>
      <w:pPr>
        <w:spacing w:after="60"/>
        <w:ind w:firstLine="567"/>
        <w:jc w:val="both"/>
      </w:pPr>
      <w:r>
        <w:rPr>
          <w:rFonts w:ascii="Arial" w:cs="Arial" w:eastAsia="Arial" w:hAnsi="Arial"/>
          <w:sz w:val="24"/>
          <w:szCs w:val="24"/>
        </w:rPr>
        <w:t xml:space="preserve">На 2018-2019 годы выбирается модель смешанной пенсионной системы (распределительной и накопительной составляющих) при усилении страхового принципа. Политика в сфере пенсионного обеспечения также будет реализовываться в рамках Концепции развития системы пенсионного обеспечения Кыргызской Республики (постановление Правительства Кыргызской Республики от 24 ноября 2014 года № 670).</w:t>
      </w:r>
    </w:p>
    <w:p>
      <w:pPr>
        <w:spacing w:after="60"/>
        <w:ind w:firstLine="567"/>
        <w:jc w:val="both"/>
      </w:pPr>
      <w:r>
        <w:rPr>
          <w:rFonts w:ascii="Arial" w:cs="Arial" w:eastAsia="Arial" w:hAnsi="Arial"/>
          <w:sz w:val="24"/>
          <w:szCs w:val="24"/>
        </w:rPr>
        <w:t xml:space="preserve">Основные направления развития системы образования изложены в Концепции и Стратегии развития образования до 2020 года. В Стратегии развития образования на 2012-2020 годы заложены 7 программ, охватывающих основные уровни системы образования и реализующие концептуальное положение, закрепленное в ключевых международных и страновых документах - об образовании на протяжении всей жизни.</w:t>
      </w:r>
    </w:p>
    <w:p>
      <w:pPr>
        <w:spacing w:after="60"/>
        <w:ind w:firstLine="567"/>
        <w:jc w:val="both"/>
      </w:pPr>
      <w:r>
        <w:rPr>
          <w:rFonts w:ascii="Arial" w:cs="Arial" w:eastAsia="Arial" w:hAnsi="Arial"/>
          <w:sz w:val="24"/>
          <w:szCs w:val="24"/>
        </w:rPr>
        <w:t xml:space="preserve">Программы, которые будут реализовываться на протяжении всего срока действия Стратегии развития образования до 2020 года, охватывают следующие уровни образования и их важнейшие приоритеты:</w:t>
      </w:r>
    </w:p>
    <w:p>
      <w:pPr>
        <w:spacing w:after="60"/>
        <w:ind w:firstLine="567"/>
        <w:jc w:val="both"/>
      </w:pPr>
      <w:r>
        <w:rPr>
          <w:rFonts w:ascii="Arial" w:cs="Arial" w:eastAsia="Arial" w:hAnsi="Arial"/>
          <w:sz w:val="24"/>
          <w:szCs w:val="24"/>
        </w:rPr>
        <w:t xml:space="preserve">- управление, мониторинг и стратегическое планирование в образовании;</w:t>
      </w:r>
    </w:p>
    <w:p>
      <w:pPr>
        <w:spacing w:after="60"/>
        <w:ind w:firstLine="567"/>
        <w:jc w:val="both"/>
      </w:pPr>
      <w:r>
        <w:rPr>
          <w:rFonts w:ascii="Arial" w:cs="Arial" w:eastAsia="Arial" w:hAnsi="Arial"/>
          <w:sz w:val="24"/>
          <w:szCs w:val="24"/>
        </w:rPr>
        <w:t xml:space="preserve">- дошкольное образование и подготовка детей к школе;</w:t>
      </w:r>
    </w:p>
    <w:p>
      <w:pPr>
        <w:spacing w:after="60"/>
        <w:ind w:firstLine="567"/>
        <w:jc w:val="both"/>
      </w:pPr>
      <w:r>
        <w:rPr>
          <w:rFonts w:ascii="Arial" w:cs="Arial" w:eastAsia="Arial" w:hAnsi="Arial"/>
          <w:sz w:val="24"/>
          <w:szCs w:val="24"/>
        </w:rPr>
        <w:t xml:space="preserve">- школьное образование, внешкольное образование;</w:t>
      </w:r>
    </w:p>
    <w:p>
      <w:pPr>
        <w:spacing w:after="60"/>
        <w:ind w:firstLine="567"/>
        <w:jc w:val="both"/>
      </w:pPr>
      <w:r>
        <w:rPr>
          <w:rFonts w:ascii="Arial" w:cs="Arial" w:eastAsia="Arial" w:hAnsi="Arial"/>
          <w:sz w:val="24"/>
          <w:szCs w:val="24"/>
        </w:rPr>
        <w:t xml:space="preserve">- начальное профессиональное образование;</w:t>
      </w:r>
    </w:p>
    <w:p>
      <w:pPr>
        <w:spacing w:after="60"/>
        <w:ind w:firstLine="567"/>
        <w:jc w:val="both"/>
      </w:pPr>
      <w:r>
        <w:rPr>
          <w:rFonts w:ascii="Arial" w:cs="Arial" w:eastAsia="Arial" w:hAnsi="Arial"/>
          <w:sz w:val="24"/>
          <w:szCs w:val="24"/>
        </w:rPr>
        <w:t xml:space="preserve">- среднее профессиональное образование;</w:t>
      </w:r>
    </w:p>
    <w:p>
      <w:pPr>
        <w:spacing w:after="60"/>
        <w:ind w:firstLine="567"/>
        <w:jc w:val="both"/>
      </w:pPr>
      <w:r>
        <w:rPr>
          <w:rFonts w:ascii="Arial" w:cs="Arial" w:eastAsia="Arial" w:hAnsi="Arial"/>
          <w:sz w:val="24"/>
          <w:szCs w:val="24"/>
        </w:rPr>
        <w:t xml:space="preserve">- высшее профессиональное образование</w:t>
      </w:r>
    </w:p>
    <w:p>
      <w:pPr>
        <w:spacing w:after="60"/>
        <w:ind w:firstLine="567"/>
        <w:jc w:val="both"/>
      </w:pPr>
      <w:r>
        <w:rPr>
          <w:rFonts w:ascii="Arial" w:cs="Arial" w:eastAsia="Arial" w:hAnsi="Arial"/>
          <w:sz w:val="24"/>
          <w:szCs w:val="24"/>
        </w:rPr>
        <w:t xml:space="preserve">- образование взрослых и неформальное образование.</w:t>
      </w:r>
    </w:p>
    <w:p>
      <w:pPr>
        <w:spacing w:after="60"/>
        <w:ind w:firstLine="567"/>
        <w:jc w:val="both"/>
      </w:pPr>
      <w:r>
        <w:rPr>
          <w:rFonts w:ascii="Arial" w:cs="Arial" w:eastAsia="Arial" w:hAnsi="Arial"/>
          <w:sz w:val="24"/>
          <w:szCs w:val="24"/>
        </w:rPr>
        <w:t xml:space="preserve">Главные ориентиры системы здравоохранения заложены в Стратегии охраны и укрепления здоровья населения Кыргызской Республике до 2020 года ("Здоровье-2020") (постановление Правительства Кыргызской Республики от 4 июня 2014 года № 306) и будут осуществляться согласно Плану мероприятию реализации Стратегии охраны и укрепления здоровья населения Кыргызской Республики до 2020 года ("Здоровье-2020").</w:t>
      </w:r>
    </w:p>
    <w:p>
      <w:pPr>
        <w:spacing w:after="60"/>
        <w:ind w:firstLine="567"/>
        <w:jc w:val="both"/>
      </w:pPr>
      <w:r>
        <w:rPr>
          <w:rFonts w:ascii="Arial" w:cs="Arial" w:eastAsia="Arial" w:hAnsi="Arial"/>
          <w:sz w:val="24"/>
          <w:szCs w:val="24"/>
        </w:rPr>
        <w:t xml:space="preserve">Основное внимание в сфере здравоохранения в 2018-2019 годах будет направлено на:</w:t>
      </w:r>
    </w:p>
    <w:p>
      <w:pPr>
        <w:spacing w:after="60"/>
        <w:ind w:firstLine="567"/>
        <w:jc w:val="both"/>
      </w:pPr>
      <w:r>
        <w:rPr>
          <w:rFonts w:ascii="Arial" w:cs="Arial" w:eastAsia="Arial" w:hAnsi="Arial"/>
          <w:sz w:val="24"/>
          <w:szCs w:val="24"/>
        </w:rPr>
        <w:t xml:space="preserve">- проведение мероприятий по достижению Целей устойчивого развития (ЦУР);</w:t>
      </w:r>
    </w:p>
    <w:p>
      <w:pPr>
        <w:spacing w:after="60"/>
        <w:ind w:firstLine="567"/>
        <w:jc w:val="both"/>
      </w:pPr>
      <w:r>
        <w:rPr>
          <w:rFonts w:ascii="Arial" w:cs="Arial" w:eastAsia="Arial" w:hAnsi="Arial"/>
          <w:sz w:val="24"/>
          <w:szCs w:val="24"/>
        </w:rPr>
        <w:t xml:space="preserve">- усиление роли первичной медико-санитарной помощи (ПМСП) и обеспечение профилактической направленности медицинской помощи, а также утверждение и реализация Плана мероприятий "Усиление по первичной медико-санитарной помощи в Кыргызской Республике" (приказ Министерства здравоохранения Кыргызской Республики от 26 февраля 2016 года № 142);</w:t>
      </w:r>
    </w:p>
    <w:p>
      <w:pPr>
        <w:spacing w:after="60"/>
        <w:ind w:firstLine="567"/>
        <w:jc w:val="both"/>
      </w:pPr>
      <w:r>
        <w:rPr>
          <w:rFonts w:ascii="Arial" w:cs="Arial" w:eastAsia="Arial" w:hAnsi="Arial"/>
          <w:sz w:val="24"/>
          <w:szCs w:val="24"/>
        </w:rPr>
        <w:t xml:space="preserve">- дальнейшее совершенствование механизмов оплаты медицинских услуг, пересмотр системы финансирования на основе результатов на ПМСП (мотивация по профилактике сердечно-сосудистых заболеваний, охрана здоровья матери и ребенка, туберкулез и ВИЧ-инфекции).</w:t>
      </w:r>
    </w:p>
    <w:p>
      <w:pPr>
        <w:spacing w:after="60"/>
        <w:ind w:firstLine="567"/>
        <w:jc w:val="both"/>
      </w:pPr>
      <w:r>
        <w:rPr>
          <w:rFonts w:ascii="Arial" w:cs="Arial" w:eastAsia="Arial" w:hAnsi="Arial"/>
          <w:sz w:val="24"/>
          <w:szCs w:val="24"/>
        </w:rPr>
        <w:t xml:space="preserve">Исходя из прогнозируемых макроэкономических параметров, социальные показатели в 2018-2019 годах будут складываться следующим образом.</w:t>
      </w:r>
    </w:p>
    <w:p>
      <w:pPr>
        <w:spacing w:after="60"/>
        <w:ind w:firstLine="567"/>
        <w:jc w:val="both"/>
      </w:pPr>
      <w:r>
        <w:rPr>
          <w:rFonts w:ascii="Arial" w:cs="Arial" w:eastAsia="Arial" w:hAnsi="Arial"/>
          <w:sz w:val="24"/>
          <w:szCs w:val="24"/>
        </w:rPr>
        <w:t xml:space="preserve">Реальный рост денежных доходов населения в 2018-2019 годах прогнозируется в среднем на уровне 3,9%, что будет способствовать росту частного потребления на 4% в среднем за год. В прогнозируемом периоде доля государственного потребления сократится на 1,2 процентного пункта по сравнению с 2016 годом и составит в 2019 году 15,8% к ВВП.</w:t>
      </w:r>
    </w:p>
    <w:p>
      <w:pPr>
        <w:spacing w:after="60"/>
        <w:ind w:firstLine="567"/>
        <w:jc w:val="both"/>
      </w:pPr>
      <w:r>
        <w:rPr>
          <w:rFonts w:ascii="Arial" w:cs="Arial" w:eastAsia="Arial" w:hAnsi="Arial"/>
          <w:sz w:val="24"/>
          <w:szCs w:val="24"/>
        </w:rPr>
        <w:t xml:space="preserve">Рост номинального размера среднемесячной заработной платы прогнозируется в среднем на 9,0% и составит в 2019 году 18320,0 сомов.</w:t>
      </w:r>
    </w:p>
    <w:p>
      <w:pPr>
        <w:spacing w:after="60"/>
        <w:ind w:firstLine="567"/>
        <w:jc w:val="both"/>
      </w:pPr>
      <w:r>
        <w:rPr>
          <w:rFonts w:ascii="Arial" w:cs="Arial" w:eastAsia="Arial" w:hAnsi="Arial"/>
          <w:sz w:val="24"/>
          <w:szCs w:val="24"/>
        </w:rPr>
        <w:t xml:space="preserve">Прогнозируется рост прожиточного минимума (ПМ) с 5554,4 сома в 2017 году до 6282,2 сома в 2019 году. Коэффициент отношения СЗП к ПМ на взрослое население трудоспособного возраста сложится на уровне 2,6 к 2019 году.</w:t>
      </w:r>
    </w:p>
    <w:p>
      <w:pPr>
        <w:spacing w:after="60"/>
        <w:ind w:firstLine="567"/>
        <w:jc w:val="both"/>
      </w:pPr>
      <w:r>
        <w:rPr>
          <w:rFonts w:ascii="Arial" w:cs="Arial" w:eastAsia="Arial" w:hAnsi="Arial"/>
          <w:sz w:val="24"/>
          <w:szCs w:val="24"/>
        </w:rPr>
        <w:t xml:space="preserve">Прогнозируется увеличение номинального размера пенсии относительно 2017 года на 12,6% и составит в 2019 году 6000,0 сомов в месяц.</w:t>
      </w:r>
    </w:p>
    <w:p>
      <w:pPr>
        <w:spacing w:after="60"/>
        <w:ind w:firstLine="567"/>
        <w:jc w:val="both"/>
      </w:pPr>
      <w:r>
        <w:rPr>
          <w:rFonts w:ascii="Arial" w:cs="Arial" w:eastAsia="Arial" w:hAnsi="Arial"/>
          <w:sz w:val="24"/>
          <w:szCs w:val="24"/>
        </w:rPr>
        <w:t xml:space="preserve">Прогнозируется снижение уровня общей безработицы к 2019 году до 7,7%, относительно 8,0%, фактически сложившегося уровня в 2014 году.</w:t>
      </w:r>
    </w:p>
    <w:p>
      <w:pPr>
        <w:spacing w:after="60"/>
        <w:ind w:firstLine="567"/>
        <w:jc w:val="both"/>
      </w:pPr>
      <w:r>
        <w:rPr>
          <w:rFonts w:ascii="Arial" w:cs="Arial" w:eastAsia="Arial" w:hAnsi="Arial"/>
          <w:sz w:val="24"/>
          <w:szCs w:val="24"/>
        </w:rPr>
        <w:t xml:space="preserve">Уровень бедности к 2019 году прогнозируется на уровне 31,4% и снизится на 0,6 процентного пункта по сравнению с 2017 годом.</w:t>
      </w:r>
    </w:p>
    <w:p>
      <w:pPr>
        <w:spacing w:after="200" w:before="200"/>
        <w:jc w:val="center"/>
      </w:pPr>
      <w:r>
        <w:rPr>
          <w:rFonts w:ascii="Arial" w:cs="Arial" w:eastAsia="Arial" w:hAnsi="Arial"/>
          <w:b/>
          <w:bCs/>
          <w:sz w:val="24"/>
          <w:szCs w:val="24"/>
        </w:rPr>
        <w:t xml:space="preserve">7. Заключение</w:t>
      </w:r>
    </w:p>
    <w:p>
      <w:pPr>
        <w:spacing w:after="60"/>
        <w:ind w:firstLine="567"/>
        <w:jc w:val="both"/>
      </w:pPr>
      <w:r>
        <w:rPr>
          <w:rFonts w:ascii="Arial" w:cs="Arial" w:eastAsia="Arial" w:hAnsi="Arial"/>
          <w:sz w:val="24"/>
          <w:szCs w:val="24"/>
        </w:rPr>
        <w:t xml:space="preserve">Важным условием выполнения прогнозируемых целевых показателей для устойчивого развития экономики Кыргызской Республики являются сохранение политической стабильности как основы для проведения макроэкономической политики, а также минимизация влияющих на экономику внешних и внутренних шоков.</w:t>
      </w:r>
    </w:p>
    <w:p>
      <w:pPr>
        <w:spacing w:after="60"/>
        <w:ind w:firstLine="567"/>
        <w:jc w:val="both"/>
      </w:pPr>
      <w:r>
        <w:rPr>
          <w:rFonts w:ascii="Arial" w:cs="Arial" w:eastAsia="Arial" w:hAnsi="Arial"/>
          <w:sz w:val="24"/>
          <w:szCs w:val="24"/>
        </w:rPr>
        <w:t xml:space="preserve">Целевые макроэкономические показатели будут достигаться через реализацию крупных национальных проектов, эффективное управление государственными активами страны, реформирование системы государственного регулирования для стимулирования экономического роста. Сохранение благоприятного инвестиционного климата, гибкая регуляторная политика в сфере предпринимательства, предсказуемость и стабильность законодательства будут способствовать экономическому росту.</w:t>
      </w:r>
    </w:p>
    <w:p>
      <w:pPr>
        <w:spacing w:after="60"/>
        <w:ind w:firstLine="567"/>
        <w:jc w:val="both"/>
      </w:pPr>
      <w:r>
        <w:rPr>
          <w:rFonts w:ascii="Arial" w:cs="Arial" w:eastAsia="Arial" w:hAnsi="Arial"/>
          <w:sz w:val="24"/>
          <w:szCs w:val="24"/>
        </w:rPr>
        <w:t xml:space="preserve">Экономический рост будет поддерживаться со стороны всех секторов реальной экономики, формирующих ВВП страны.</w:t>
      </w:r>
    </w:p>
    <w:p>
      <w:pPr>
        <w:spacing w:after="60"/>
        <w:ind w:firstLine="567"/>
        <w:jc w:val="both"/>
      </w:pPr>
      <w:r>
        <w:rPr>
          <w:rFonts w:ascii="Arial" w:cs="Arial" w:eastAsia="Arial" w:hAnsi="Arial"/>
          <w:sz w:val="24"/>
          <w:szCs w:val="24"/>
        </w:rPr>
        <w:t xml:space="preserve">На основании данных мониторинга и анализа социально-экономического развития Кыргызской Республики будут периодически детально анализироваться достигнутый прогресс, определяться риски и на основании полученных результатов оперативно пересматриваться прогнозные значения показателей.</w:t>
      </w:r>
    </w:p>
    <w:p>
      <w:pPr>
        <w:spacing w:after="60"/>
        <w:ind w:firstLine="567"/>
        <w:jc w:val="both"/>
      </w:pPr>
      <w:r>
        <w:rPr>
          <w:rFonts w:ascii="Arial" w:cs="Arial" w:eastAsia="Arial" w:hAnsi="Arial"/>
          <w:sz w:val="24"/>
          <w:szCs w:val="24"/>
        </w:rPr>
        <w:t xml:space="preserve">Правительством Кыргызской Республики, при необходимости, будет разработана система мер, направленная на смягчение возможного шокового воздействия на экономику от негативных процессов, связанных с ухудшением мировой конъюнктуры.</w:t>
      </w:r>
    </w:p>
    <w:p>
      <w:pPr>
        <w:spacing w:after="60"/>
        <w:ind w:firstLine="567"/>
        <w:jc w:val="both"/>
      </w:pPr>
      <w:r>
        <w:rPr>
          <w:rFonts w:ascii="Arial" w:cs="Arial" w:eastAsia="Arial" w:hAnsi="Arial"/>
          <w:sz w:val="24"/>
          <w:szCs w:val="24"/>
        </w:rPr>
        <w:t xml:space="preserve">Перечень показателей прогноза социально-экономического развития Кыргызской Республики определен в приложениях </w:t>
      </w: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15</w:t>
      </w:r>
      <w:r>
        <w:rPr>
          <w:rFonts w:ascii="Arial" w:cs="Arial" w:eastAsia="Arial" w:hAnsi="Arial"/>
          <w:sz w:val="24"/>
          <w:szCs w:val="24"/>
        </w:rPr>
        <w:t xml:space="preserve"> к настоящему Прогнозу социально-экономического развития Кыргызской Республики на 2017 год и 2018-2019 годы.</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Прогнозу социально-экономического развития Кыргызской Республики на 2017 год и 2018-2019 годы</w:t>
      </w:r>
    </w:p>
    <w:p>
      <w:pPr>
        <w:spacing w:after="400" w:before="400"/>
        <w:jc w:val="center"/>
      </w:pPr>
      <w:r>
        <w:rPr>
          <w:rFonts w:ascii="Arial" w:cs="Arial" w:eastAsia="Arial" w:hAnsi="Arial"/>
          <w:b/>
          <w:bCs/>
          <w:sz w:val="32"/>
          <w:szCs w:val="32"/>
        </w:rPr>
        <w:t xml:space="preserve">ПРОГНОЗ
 социально-экономического развития Кыргызской Республики на 2017 год и 2018-2019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03"/>
        <w:gridCol w:w="1129"/>
        <w:gridCol w:w="905"/>
        <w:gridCol w:w="905"/>
        <w:gridCol w:w="905"/>
        <w:gridCol w:w="873"/>
        <w:gridCol w:w="873"/>
        <w:gridCol w:w="873"/>
        <w:gridCol w:w="905"/>
        <w:gridCol w:w="905"/>
      </w:tblGrid>
      <w:tr>
        <w:tc>
          <w:tcPr>
            <w:tcW w:type="dxa" w:w="19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12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9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9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9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2619"/>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w:t>
            </w:r>
          </w:p>
        </w:tc>
        <w:tc>
          <w:tcPr>
            <w:tcW w:type="dxa" w:w="9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9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янв.-март</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янв.-июнь</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янв.-сент.</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10176"/>
            <w:gridSpan w:val="1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 Производство ВВП:</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Номинальный ВВП</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423635,5</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454389,0</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494444,3</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85884,0</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194250,5</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342658,0</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541404,8</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598645,9</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 % к соответствующему периоду предыдущего года</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Добавленная стоимость</w:t>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64959,7</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69103,0</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70533,4</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14467,7</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27959,9</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44076,9</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73566,1</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79737,0</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95,8</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96,8</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96,0</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99,0</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лесное хозяйство и рыболовство</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59395,6</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62166,4</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66966,7</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7323,6</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19460,5</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54631,7</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72219,1</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78175,6</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35322,9</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39253,2</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44895,6</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5633,4</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14067,3</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26594,3</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52081,6</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60750,3</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113,9</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112,3</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112,7</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212901,9</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229132,5</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252529,0</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46327,0</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103516,3</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167231,5</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278449,1</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308143,1</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 и импорт</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51055,4</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54733,9</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59519,5</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12132,3</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29246,5</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50123,6</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65088,9</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71840,0</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Справка:</w:t>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без учета предприятий по разработке месторождения Кумтор</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393351,6</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423083,5</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464362,7</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79815,1</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183930,7</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326216,6</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512056,8</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567028,1</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 % к соответствующему периоду предыдущего года</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r>
      <w:tr>
        <w:tc>
          <w:tcPr>
            <w:tcW w:type="dxa" w:w="10176"/>
            <w:gridSpan w:val="1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 Использование ВВП(1):</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Конечное потребление</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447686,0</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473137,2</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514730,6</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564395,6</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621404,3</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 потребление</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373507,4</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395910,4</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432460,9</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475972,7</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526752,8</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99,0</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98,1</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 потребление</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74178,6</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77226,8</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82269,7</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88422,9</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94651,5</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инвестиции(2)</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135671,6</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146042,3</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159766,8</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176142,0</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195062,1</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87,4</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32831,0</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44591,6</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43647,8</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39329,4</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37255,6</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Программа государственных инвестиций (ПГИ внешние)</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15642,0</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43540,0</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42264,3</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37535,3</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35891,4</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102840,6</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101450,7</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116119,0</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136812,7</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157806,5</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 товаров и услуг</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-159722,0</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-164791,8</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-180054,5</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-199134,6</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-217822,5</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товаров и услуг</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152207,5</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152125,7</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162915,3</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177399,4</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194358,0</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94,9</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95,1</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товаров и услуг</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311929,6</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316917,5</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342969,9</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376533,9</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412180,5</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87,0</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96,9</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r>
      <w:tr>
        <w:tc>
          <w:tcPr>
            <w:tcW w:type="dxa" w:w="10176"/>
            <w:gridSpan w:val="1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 Социальные показатели</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на душу населения</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сомов</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74,4</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77,7</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83,0</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32,8</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57,7</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89,4</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97,3</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на душу населения</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долл. США</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1146,2</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1110,6</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1142,0</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451,2</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793,7</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1181,9</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1237,3</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бедности</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доходы населения</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291381,0</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311255,6</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338693,3</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77081,2</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159856,8</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248072,3</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373568,1</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413064,3</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98,3</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минимум(3)</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сомов в месяц</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5183,0</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5240,0</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5554,4</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5695,0</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5748,4</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5350,6</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5909,9</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6282,2</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 для взрослого населения трудоспособного возраста(4)</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сомов в месяц</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5799,8</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5863,6</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6215,5</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6358,3</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6449,0</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5992,8</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6613,2</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7029,9</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 для взрослого населения пенсионного возраста(5)</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сомов в месяц</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4637,2</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4688,2</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4969,5</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5080,3</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5163,1</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4780,4</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5287,6</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5620,7</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Среднегодовая численность наличного населения</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5702,1</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5844,7</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5955,7</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5906,3</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5921,8</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5938,6</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6059,3</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6155,4</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Среднемесячная заработная плата</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сомов</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13483,0</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14350,0</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15420,0</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14040,5</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14535,9</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14829,3</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16700,0</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18320,0</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99,1</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прожиточному минимуму для трудоспособного населения</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228,9</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244,7</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248,1</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249,5</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225,4</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247,5</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252,5</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260,6</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Среднемесячный размер пенсий(6)</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сомов</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4753,0</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5033,0</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5330,0</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5330,0</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5330,0</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5330,0</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5700,0</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6000,0</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97,8</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99,9</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99,0</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прожиточному минимуму пенсионера</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потребительских цен (ИПЦ)</w:t>
            </w:r>
          </w:p>
        </w:tc>
        <w:tc>
          <w:tcPr>
            <w:tcW w:type="dxa" w:w="1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декабрю предыдущего года</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предыдущему году</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r>
      <w:tr>
        <w:tc>
          <w:tcPr>
            <w:tcW w:type="dxa" w:w="10176"/>
            <w:gridSpan w:val="1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IV. Трудовые ресурсы(7)</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экономически активного населения</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2544,0</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2582,0</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2618,0</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2599,0</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2585,3</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2610,4</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2652,2</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2684,9</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занятого населения</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2339,7</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2375,0</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2410,2</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2322,8</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2395,2</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2435,4</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2444,5</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2479,0</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безработных (общая)</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204,3</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207,0</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207,8</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276,2</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190,1</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175,0</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207,7</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205,9</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общей безработицы</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Производительность труда</w:t>
            </w:r>
          </w:p>
        </w:tc>
        <w:tc>
          <w:tcPr>
            <w:tcW w:type="dxa" w:w="1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Прогнозу социально-экономического развития Кыргызской Республики на 2017 год и 2018-2019 годы</w:t>
      </w:r>
    </w:p>
    <w:p>
      <w:pPr>
        <w:spacing w:after="400" w:before="400"/>
        <w:jc w:val="center"/>
      </w:pPr>
      <w:r>
        <w:rPr>
          <w:rFonts w:ascii="Arial" w:cs="Arial" w:eastAsia="Arial" w:hAnsi="Arial"/>
          <w:b/>
          <w:bCs/>
          <w:sz w:val="32"/>
          <w:szCs w:val="32"/>
        </w:rPr>
        <w:t xml:space="preserve">СТРУКТУРА
 производства и конечного использования ВВП Кыргызской Республики на 2017 год и 2018-2019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78"/>
        <w:gridCol w:w="1142"/>
        <w:gridCol w:w="902"/>
        <w:gridCol w:w="985"/>
        <w:gridCol w:w="985"/>
        <w:gridCol w:w="985"/>
      </w:tblGrid>
      <w:tr>
        <w:tc>
          <w:tcPr>
            <w:tcW w:type="dxa" w:w="517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1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9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9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9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9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10177"/>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 Национальные счета (% от ВВП)</w:t>
            </w:r>
          </w:p>
        </w:tc>
      </w:tr>
      <w:tr>
        <w:tc>
          <w:tcPr>
            <w:tcW w:type="dxa" w:w="10177"/>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Производство ВВП</w:t>
            </w:r>
          </w:p>
        </w:tc>
      </w:tr>
      <w:tr>
        <w:tc>
          <w:tcPr>
            <w:tcW w:type="dxa" w:w="5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лесное хозяйство и рыболовство</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w:t>
            </w:r>
          </w:p>
        </w:tc>
      </w:tr>
      <w:tr>
        <w:tc>
          <w:tcPr>
            <w:tcW w:type="dxa" w:w="5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w:t>
            </w:r>
          </w:p>
        </w:tc>
      </w:tr>
      <w:tr>
        <w:tc>
          <w:tcPr>
            <w:tcW w:type="dxa" w:w="5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Справка:</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r>
      <w:tr>
        <w:tc>
          <w:tcPr>
            <w:tcW w:type="dxa" w:w="5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r>
      <w:tr>
        <w:tc>
          <w:tcPr>
            <w:tcW w:type="dxa" w:w="5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50,4</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51,1</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51,4</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51,5</w:t>
            </w:r>
          </w:p>
        </w:tc>
      </w:tr>
      <w:tr>
        <w:tc>
          <w:tcPr>
            <w:tcW w:type="dxa" w:w="5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 и импорт</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r>
      <w:tr>
        <w:tc>
          <w:tcPr>
            <w:tcW w:type="dxa" w:w="10177"/>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 Использование ВВП(8)</w:t>
            </w:r>
          </w:p>
        </w:tc>
      </w:tr>
      <w:tr>
        <w:tc>
          <w:tcPr>
            <w:tcW w:type="dxa" w:w="5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Потребление:</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r>
      <w:tr>
        <w:tc>
          <w:tcPr>
            <w:tcW w:type="dxa" w:w="5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w:t>
            </w:r>
          </w:p>
        </w:tc>
      </w:tr>
      <w:tr>
        <w:tc>
          <w:tcPr>
            <w:tcW w:type="dxa" w:w="5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88,2</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87,1</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87,5</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87,9</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88,0</w:t>
            </w:r>
          </w:p>
        </w:tc>
      </w:tr>
      <w:tr>
        <w:tc>
          <w:tcPr>
            <w:tcW w:type="dxa" w:w="5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32,3</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w:t>
            </w:r>
          </w:p>
        </w:tc>
      </w:tr>
      <w:tr>
        <w:tc>
          <w:tcPr>
            <w:tcW w:type="dxa" w:w="5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r>
      <w:tr>
        <w:tc>
          <w:tcPr>
            <w:tcW w:type="dxa" w:w="5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ПГИ (внешние)</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r>
      <w:tr>
        <w:tc>
          <w:tcPr>
            <w:tcW w:type="dxa" w:w="5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w:t>
            </w:r>
          </w:p>
        </w:tc>
      </w:tr>
      <w:tr>
        <w:tc>
          <w:tcPr>
            <w:tcW w:type="dxa" w:w="5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 товаров и услуг</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-36,4</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-36,4</w:t>
            </w:r>
          </w:p>
        </w:tc>
      </w:tr>
      <w:tr>
        <w:tc>
          <w:tcPr>
            <w:tcW w:type="dxa" w:w="5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товаров и услуг</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35,9</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32,8</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w:t>
            </w:r>
          </w:p>
        </w:tc>
      </w:tr>
      <w:tr>
        <w:tc>
          <w:tcPr>
            <w:tcW w:type="dxa" w:w="5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товаров и услуг</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73,6</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69,7</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69,4</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69,5</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68,9</w:t>
            </w:r>
          </w:p>
        </w:tc>
      </w:tr>
      <w:tr>
        <w:tc>
          <w:tcPr>
            <w:tcW w:type="dxa" w:w="5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По методике Международного валютного фонда</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Прогнозу социально-экономического развития Кыргызской Республики на 2017 год и 2018-2019 годы</w:t>
      </w:r>
    </w:p>
    <w:p>
      <w:pPr>
        <w:spacing w:after="400" w:before="400"/>
        <w:jc w:val="center"/>
      </w:pPr>
      <w:r>
        <w:rPr>
          <w:rFonts w:ascii="Arial" w:cs="Arial" w:eastAsia="Arial" w:hAnsi="Arial"/>
          <w:b/>
          <w:bCs/>
          <w:sz w:val="32"/>
          <w:szCs w:val="32"/>
        </w:rPr>
        <w:t xml:space="preserve">Валовая продукция и темпы роста в секторах, формирующих ВВП Кыргызской Республики на 2017 год и 2018-2019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42"/>
        <w:gridCol w:w="1007"/>
        <w:gridCol w:w="1005"/>
        <w:gridCol w:w="1005"/>
        <w:gridCol w:w="969"/>
        <w:gridCol w:w="969"/>
        <w:gridCol w:w="969"/>
        <w:gridCol w:w="1005"/>
        <w:gridCol w:w="1005"/>
      </w:tblGrid>
      <w:tr>
        <w:tc>
          <w:tcPr>
            <w:tcW w:type="dxa" w:w="224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0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10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10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290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w:t>
            </w:r>
          </w:p>
        </w:tc>
        <w:tc>
          <w:tcPr>
            <w:tcW w:type="dxa" w:w="10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0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янв.-март</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янв.-июнь</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янв.-сент.</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лесное хозяйство и рыболовство, млн. сомов</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197065,8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206259,0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222185,4</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23997,2</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62094,7</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176542,4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239612,3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259374,9</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r>
              <w:rPr>
                <w:rFonts w:ascii="Arial" w:cs="Arial" w:eastAsia="Arial" w:hAnsi="Arial"/>
                <w:sz w:val="24"/>
                <w:szCs w:val="24"/>
              </w:rPr>
              <w:t xml:space="preserve">(9), млн. сомов</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174341,8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184052,9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188593,6</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39763,2</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76845,3</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121141,4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197326,6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214521,4</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98,4</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Промышленность(10), млн. сомов</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175164,0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186143,8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191778,9</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42350,7</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78640,5</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122564,1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201647,3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219786,7</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98,7</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Добыча полезных ископаемых, млн. сомов</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7993,4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11524,0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12439,2</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2283,5</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5700,9</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9195,2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13063,5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12406,8</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98,8</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93,2</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Обрабатывающие производства, млн. сомов</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134834,6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138879,5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139684,9</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26808,3</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53818,7</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87770,1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144367,4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158273,5</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96,9</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Обеспечение (снабжение) электроэнергией, газом, паром и кондиционированным воздухом, млн. сомов</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30745,7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33999,9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37737,7</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12802,9</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18201,8</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24188,2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42170,4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46904,0</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Водоснабжение, очистка, обработка отходов и получение вторичного сырья, млн. сомов</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1590,3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1740,3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1917,2</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456,1</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919,1</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1410,6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2046,1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2202,3</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Справка:</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 млн. сомов</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96345,4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104666,3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115067,4</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26455,0</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51611,1</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79501,0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126806,7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139157,9</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 млн. сомов</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116117,2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129037,3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147585,7</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16851,4</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42079,9</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79552,1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171208,1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199704,8</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112,7</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 млн. сомов</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372326,6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399842,9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439595,7</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80768,8</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180475,4</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291559,5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483844,6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535910,6</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Оптовая и розничная торговля; ремонт автомобилей и мотоциклов, млн. сомов</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128089,2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139735,6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156873,3</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23794,0</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55066,1</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97171,9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175858,0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198350,5</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Транспортная деятельность и хранение грузов, млн. сомов</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40460,0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43427,3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49591,1</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10921,2</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21636,9</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33878,9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55565,5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62787,1</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Гостиницы и рестораны, млн. сомов</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20448,7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22886,1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26152,5</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3690,0</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8773,3</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16271,5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29773,7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34311,2</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Информация и связь, млн. сомов</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32195,5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33364,8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34430,9</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7753,3</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16050,2</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25227,2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35157,7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35899,9</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2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Прогнозу социально-экономического развития Кыргызской Республики на 2017 год и 2018-2019 годы</w:t>
      </w:r>
    </w:p>
    <w:p>
      <w:pPr>
        <w:spacing w:after="400" w:before="400"/>
        <w:jc w:val="center"/>
      </w:pPr>
      <w:r>
        <w:rPr>
          <w:rFonts w:ascii="Arial" w:cs="Arial" w:eastAsia="Arial" w:hAnsi="Arial"/>
          <w:b/>
          <w:bCs/>
          <w:sz w:val="32"/>
          <w:szCs w:val="32"/>
        </w:rPr>
        <w:t xml:space="preserve">ПРОГНОЗ
 развития сельского хозяйства, лесного хозяйства и рыболовства Кыргызской Республики на 2017 год и 2018-2019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90"/>
        <w:gridCol w:w="1146"/>
        <w:gridCol w:w="934"/>
        <w:gridCol w:w="916"/>
        <w:gridCol w:w="805"/>
        <w:gridCol w:w="805"/>
        <w:gridCol w:w="805"/>
        <w:gridCol w:w="841"/>
        <w:gridCol w:w="934"/>
      </w:tblGrid>
      <w:tr>
        <w:tc>
          <w:tcPr>
            <w:tcW w:type="dxa" w:w="299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1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9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9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241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w:t>
            </w:r>
          </w:p>
        </w:tc>
        <w:tc>
          <w:tcPr>
            <w:tcW w:type="dxa" w:w="8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9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янв.-март</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янв.-июнь</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янв.-сент.</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лесное хозяйство и рыболовство, млн. сомов</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197065,8</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206259,0</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222185,4</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23997,2</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62094,7</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176542,4</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239612,3</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259374,9</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94,8</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Растениеводство, млн. сомов</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99145,7</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102261,2</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107535,5</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407,6</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8453,0</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93611,5</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114547,9</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123367,5</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91,7</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Зерновые культуры (в весе после доработки), млн. сомов</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26990,9</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23270,7</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24080,1</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25506,5</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26372,7</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121,2</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87,9</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84,6</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98,1</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(в весе после доработки), тыс. т</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1723,1</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1625,8</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1655,1</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1669,3</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1670,0</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Сахарная свекла (фабричная), млн. сомов</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587,1</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1112,2</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1231,8</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1480,1</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1624,0</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192,574</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113,2</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118,8</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98,4</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97,9</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183,2</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352,9</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399,3</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474,5</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Хлопок (в зачетном весе), млн. сомов</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1716,3</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2010,4</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2091,3</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2376,3</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2518,5</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121,7</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112,8</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112,7</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96,2</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98,5</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44,1</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53,7</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56,7</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67,0</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Табак (в зачетном весе), млн. сомов</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76,6</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173,7</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188,4</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205,6</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232,6</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227,3</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111,1</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110,7</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99,9</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Масличные культуры, млн. сомов</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1415,2</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1371,5</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1434,3</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1578,7</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1766,8</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93,1</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131,2</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45,6</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45,9</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Картофель, млн. сомов</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14737,8</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16185,4</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17648,6</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19432,2</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21275,4</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1416,4</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1432,2</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1445,0</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1453,5</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1480,0</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Овощи, млн. сомов</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29275,6</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30777,2</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32757,2</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34232,9</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37759,3</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115,6</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121,8</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1052,1</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1064,3</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1091,6</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1123,2</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1200,0</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Бахчевые продовольственные культуры, млн. сомов</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2290,6</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2249,5</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2323,5</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2465,2</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2540,8</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124,1</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94,7</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98,5</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99,1</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248,6</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235,4</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245,3</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255,0</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Плоды и ягоды, млн. сомов</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8006,3</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9718,1</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10348,0</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10709,0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11414,2</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86,9</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114,8</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209,2</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240,2</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243,7</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248,7</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Виноград, млн. сомов</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365,5</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749,1</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771,6</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810,1</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180,3</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93,7</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Прочее растениеводство</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13684,0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14683,2</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14683,2</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15790,0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17053,2</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96,2</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Животноводство, млн. сомов</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93575,6</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99653,2</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110222,8</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23289,5</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51730,5</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79562,6</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120563,1</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131506,1</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98,1</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Скот и птица на убой (в живом весе), млн. сомов</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59180,5</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61996,8</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66411,7</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71145,5</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76057,6</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Скот и птица на убой (в живом весе), тыс. т</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380,3</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392,0</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402,9</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416,0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425,0</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Молоко сырое, млн. сомов</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28935,1</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31800,6</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37704,5</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43043,2</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48585,4</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89,8</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115,6</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111,1</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Молоко сырое, тыс. т</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1481,1</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1501,6</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1540,0</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1583,0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1620,0</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Яйцо, млн. сомов</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3052,9</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3440,7</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3678,9</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3894,5</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4067,2</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97,2</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Яйцо, млн. шт.</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432,9</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466,0</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483,0</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Шерсть, млн. сомов</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143,2</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151,4</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163,9</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179,8</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195,9</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Шерсть, тыс. т</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Прочее животноводство</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2263,8</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2263,8</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2263,8</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2300,0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2600,0</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98,3</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120,4</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Услуги(11), млн. сомов</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3998,3</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3998,3</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4076,3</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244,5</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1770,7</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3102,8</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4150,0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4150,0</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97,1</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Охота, млн. сомов</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Лесное хозяйство, млн. сомов</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268,5</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268,5</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268,5</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268,5</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268,5</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Рыбоводство, рыболовство, млн. сомов</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65,5</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66,0</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97,1</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29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Прогнозу социально-экономического развития Кыргызской Республики на 2017 год и 2018-2019 годы</w:t>
      </w:r>
    </w:p>
    <w:p>
      <w:pPr>
        <w:spacing w:after="400" w:before="400"/>
        <w:jc w:val="center"/>
      </w:pPr>
      <w:r>
        <w:rPr>
          <w:rFonts w:ascii="Arial" w:cs="Arial" w:eastAsia="Arial" w:hAnsi="Arial"/>
          <w:b/>
          <w:bCs/>
          <w:sz w:val="32"/>
          <w:szCs w:val="32"/>
        </w:rPr>
        <w:t xml:space="preserve">ПРОГНОЗ
 развития промышленности Кыргызской Республики на 2017 год и 2018-2019 годы, без учета стоимости переработки давальческого сырья, с учетом покупной электроэнергии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03"/>
        <w:gridCol w:w="959"/>
        <w:gridCol w:w="936"/>
        <w:gridCol w:w="936"/>
        <w:gridCol w:w="890"/>
        <w:gridCol w:w="890"/>
        <w:gridCol w:w="890"/>
        <w:gridCol w:w="936"/>
        <w:gridCol w:w="936"/>
      </w:tblGrid>
      <w:tr>
        <w:tc>
          <w:tcPr>
            <w:tcW w:type="dxa" w:w="28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9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9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9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267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w:t>
            </w:r>
          </w:p>
        </w:tc>
        <w:tc>
          <w:tcPr>
            <w:tcW w:type="dxa" w:w="9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9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янв.-март</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янв.-июнь</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янв.-сент.</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промышленности в действующих ценах, млн. сомов</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175164,0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186143,8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191778,9</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42350,7</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78640,5</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122564,1</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201647,3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219786,7</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98,7</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96,7</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 млн. сомов</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96345,4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104666,3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115067,4</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26455,0</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51611,1</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79501,0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126806,7</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139157,9</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 Добыча полезных ископаемых, млн. сомов</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7993,4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11524,0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12439,2</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2283,5</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5700,9</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9195,2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13063,5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12406,8</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98,8</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93,2</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83,7</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Добыча каменного угля и бурого угля (лигнита), млн. сомов</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2150,2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2213,4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2376,5</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422,9</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801,3</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1465,4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2545,2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2706,4</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115,3</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95,4</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Добыча сырой нефти и природного газа, млн. сомов</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2299,2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2149,7</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2188,4</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482,3</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829,6</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1810,4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2188,4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2232,2</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87,0</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92,4</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Добыча металлических руд, млн. сомов</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2560,1</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6086,7</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6752,2</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1204,1</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3581,5</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4992,3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7172,1</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6207,1</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229,7</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84,8</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Добыча прочих полезных ископаемых, млн. сомов</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984,0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1122,2</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174,2</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488,5</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927,1</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1157,8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1261,1</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70,5</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148,2</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109,9</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 Обрабатывающие производства, млн. сомов</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134834,6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138879,5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139684,9</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26808,3</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53818,7</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87770,1</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144367,4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158273,5</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99,9</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96,9</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94,1</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Производство продуктов (включая напитки) и табачных изделий, млн. сомов</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21509,2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21939,4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23000,8</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4198,5</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10191,9</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16905,4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24285,5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26077,8</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96,1</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98,4</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Текстильное производство; производство одежды и обуви, кожи и прочих кожаных изделий, млн. сомов</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4896,4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4770,3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5099,2</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822,8</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1908,4</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3747,7</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5837,6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6776,6</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88,7</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Производство деревянных и бумажных изделий; полиграфическая деятельность, млн. сомов</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2176,6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2226,9</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2396,9</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520,1</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1024,0</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1648,6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2505,6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2721,1</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Производство кокса и очищенных нефтепродуктов, млн. сомов</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4471,4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5813,0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7513,1</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1453,9</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3426,5</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5262,9</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10823,7</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14203,7</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118,5</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118,1</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119,3</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химической продукции, млн. сомов</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618,5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418,1</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418,1</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81,8</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209,3</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339,6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418,1</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418,1</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97,6</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98,4</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79,7</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Производство фармацевтической продукции, млн. сомов</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218,9</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241,1</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257,0</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47,3</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98,2</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160,1</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335,6</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Производство резиновых и пластмассовых изделий, прочих неметаллических минеральных продуктов, млн. сомов</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14981,7</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14185,2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14545,0</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2113,5</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6291,3</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10847,7</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14933,3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15683,3</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88,9</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93,9</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98,1</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99,1</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Производство основных металлов и готовых металлических изделий, кроме машин и оборудования, млн. сомов</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82095,6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85295,7</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82317,5</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16581,5</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28824,3</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46014,7</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80995,4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87622,5</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92,9</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99,0</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87,1</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94,9</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Производство компьютеров, электронного и оптического оборудования, млн. сомов</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61,7</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65,5</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38,9</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69,5</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183,9</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120,7</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Производство электрического оборудования, млн. сомов</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1769,2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1822,6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1870,3</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428,9</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765,5</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1923,0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1961,5</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Производство машин и оборудования, не включенных в другие группировки, млн. сомов</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233,6</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43,9</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93,3</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241,4</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74,1</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Производство транспортных средств, млн. сомов</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607,3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613,3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618,9</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192,6</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372,2</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623,8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630,1</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Прочие производства, ремонт и установка машин и оборудования, млн. сомов</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1199,1</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1259,5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1349,0</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306,1</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592,3</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937,3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1417,0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1532,4</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III. Обеспечение (снабжение) электроэнергией, газом, паром и кондиционированным воздухом, млн. сомов</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30745,7</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33999,9</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37737,7</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12802,9</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18201,8</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24188,2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42170,4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46904,0</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IV. Водоснабжение, очистка, обработка отходов и получение вторичного сырья, млн. сомов</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1590,3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1740,3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1917,2</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456,1</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919,1</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1410,6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2046,1</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2202,3</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28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Прогнозу социально-экономического развития Кыргызской Республики на 2017 год и 2018-2019 годы</w:t>
      </w:r>
    </w:p>
    <w:p>
      <w:pPr>
        <w:spacing w:after="400" w:before="400"/>
        <w:jc w:val="center"/>
      </w:pPr>
      <w:r>
        <w:rPr>
          <w:rFonts w:ascii="Arial" w:cs="Arial" w:eastAsia="Arial" w:hAnsi="Arial"/>
          <w:b/>
          <w:bCs/>
          <w:sz w:val="32"/>
          <w:szCs w:val="32"/>
        </w:rPr>
        <w:t xml:space="preserve">ПРОГНОЗ
 развития промышленности Кыргызской Республики на 2017 год и 2018-2019 годы, с учетом стоимости переработки давальческого сырья, без учета покупной электроэнергии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07"/>
        <w:gridCol w:w="957"/>
        <w:gridCol w:w="936"/>
        <w:gridCol w:w="936"/>
        <w:gridCol w:w="891"/>
        <w:gridCol w:w="891"/>
        <w:gridCol w:w="891"/>
        <w:gridCol w:w="936"/>
        <w:gridCol w:w="932"/>
      </w:tblGrid>
      <w:tr>
        <w:tc>
          <w:tcPr>
            <w:tcW w:type="dxa" w:w="280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9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9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9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2673"/>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w:t>
            </w:r>
          </w:p>
        </w:tc>
        <w:tc>
          <w:tcPr>
            <w:tcW w:type="dxa" w:w="9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9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янв.-март</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янв.-июнь</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янв.-сент.</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промышленности в действующих ценах, млн. сомов</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174341,8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184052,9</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188593,6</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39763,2</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76845,3</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121141,4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197326,6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214521,4</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98,4</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 млн. сомов</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95523,2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102575,4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111882,1</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23867,5</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49815,9</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78078,3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122486,0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133892,6</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 Добыча полезных ископаемых, млн. сомов</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7995,6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11526,4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12441,7</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2283,4</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5735,7</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9198,5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13066,1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12409,6</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98,8</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93,2</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91,1</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Добыча каменного угля и бурого угля (лигнита), млн. сомов</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2150,2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2213,4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2376,5</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422,8</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801,3</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1465,4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2545,2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2706,4</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115,3</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95,4</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Добыча сырой нефти и природного газа, млн. сомов</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2299,2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2149,7</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2188,4</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482,3</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829,6</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1810,4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2188,4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2232,2</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87,0</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92,4</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Добыча металлических руд, млн. сомов</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2560,1</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6086,7</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6752,2</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1204,1</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3616,2</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4992,3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7172,1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6207,1</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229,7</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84,8</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Добыча прочих полезных ископаемых, млн. сомов</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986,2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1124,7</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174,2</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488,5</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930,4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1160,4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1263,9</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70,5</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148,2</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109,9</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 Обрабатывающие производства, млн. сомов</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143711,4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147714,0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148678,1</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28667,4</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57793,6</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94093,2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153708,2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168477,6</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97,0</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Производство продуктов (включая напитки) и табачных изделий, млн. сомов</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28176,8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29140,4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30247,7</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5638,8</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13191,5</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21333,1</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31627,1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33961,1</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95,6</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97,9</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99,9</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Текстильное производство; производство одежды и обуви, кожи и прочих кожаных изделий, млн. сомов</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5607,0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6403,8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6845,5</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934,1</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2028,9</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4014,6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7836,8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9097,3</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88,7</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Производство деревянных и бумажных изделий; полиграфическая деятельность, млн. сомов</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2390,3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2226,9</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2396,9</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553,5</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1114,1</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1820,4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2505,6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2721,1</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Производство кокса и очищенных нефтепродуктов, млн. сомов</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5681,6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5813,0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7513,1</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1719,5</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4161,9</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6659,7</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10823,7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14203,7</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118,5</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118,1</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119,3</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Производство химической продукции, млн. сомов</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618,5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418,1</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418,1</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81,8</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209,3</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339,6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418,1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418,1</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97,6</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98,4</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79,7</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Производство фармацевтической продукции, млн. сомов</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218,9</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241,1</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257,0</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47,3</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98,2</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160,1</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335,6</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Производство резиновых и пластмассовых изделий, прочих неметаллических минеральных продуктов, млн. сомов</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14999,9</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14185,2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14545,0</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2113,5</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6293,0</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10857,3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14933,3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15683,3</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88,9</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93,9</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98,1</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99,1</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Производство основных металлов и готовых металлических изделий, кроме машин и оборудования, млн. сомов</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82095,6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85295,7</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82317,5</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16581,5</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28824,3</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46014,7</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80995,4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87622,5</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92,9</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99,0</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87,1</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Производство компьютеров, электронного и оптического оборудования, млн. сомов</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61,7</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65,5</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38,9</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69,5</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183,9</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120,7</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Производство электрического оборудования, млн. сомов</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1769,2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1822,6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1870,3</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428,9</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765,5</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1923,0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1961,5</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Производство машин и оборудования, не включенных в другие группировки, млн. сомов</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233,6</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43,9</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93,3</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241,4</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74,1</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Производство транспортных средств, млн. сомов</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607,3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613,3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618,9</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192,6</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372,2</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623,8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630,1</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Прочие производства, ремонт и установка машин и оборудования, млн. сомов</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1255,6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1259,5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1349,0</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314,6</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619,9</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987,5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1417,0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1532,4</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III. Обеспечение (снабжение) электроэнергией, газом, паром и кондиционированным воздухом, млн. сомов</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21044,5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23072,2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25556,6</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8356,3</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12398,9</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16439,1</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28506,3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31431,8</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123,4</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IV. Водоснабжение, очистка, обработка отходов и получение вторичного сырья, млн. сомов</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1590,3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1740,3</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1917,2</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456,1</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917,1</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1410,6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2046,1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2202,3</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2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87,1</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Прогнозу социально-экономического развития Кыргызской Республики на 2017 год и 2018-2019 годы</w:t>
      </w:r>
    </w:p>
    <w:p>
      <w:pPr>
        <w:spacing w:after="400" w:before="400"/>
        <w:jc w:val="center"/>
      </w:pPr>
      <w:r>
        <w:rPr>
          <w:rFonts w:ascii="Arial" w:cs="Arial" w:eastAsia="Arial" w:hAnsi="Arial"/>
          <w:b/>
          <w:bCs/>
          <w:sz w:val="32"/>
          <w:szCs w:val="32"/>
        </w:rPr>
        <w:t xml:space="preserve">ПРОГНОЗ
 производства натуральных видов продукции промышленности Кыргызской Республики на 2017 год и 2018-2019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12"/>
        <w:gridCol w:w="959"/>
        <w:gridCol w:w="833"/>
        <w:gridCol w:w="892"/>
        <w:gridCol w:w="892"/>
        <w:gridCol w:w="892"/>
      </w:tblGrid>
      <w:tr>
        <w:tc>
          <w:tcPr>
            <w:tcW w:type="dxa" w:w="571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9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8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8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8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8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57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Добыча полезных ископаемых</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 тыс. т</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1882,7</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2200,0</w:t>
            </w:r>
          </w:p>
        </w:tc>
      </w:tr>
      <w:tr>
        <w:tc>
          <w:tcPr>
            <w:tcW w:type="dxa" w:w="57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Сырая нефть, тыс. т</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57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 природный, млн. м</w:t>
            </w:r>
            <w:r>
              <w:rPr>
                <w:rFonts w:ascii="Arial" w:cs="Arial" w:eastAsia="Arial" w:hAnsi="Arial"/>
                <w:sz w:val="24"/>
                <w:szCs w:val="24"/>
              </w:rPr>
              <w:t xml:space="preserve">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r>
      <w:tr>
        <w:tc>
          <w:tcPr>
            <w:tcW w:type="dxa" w:w="57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Природные пески, тыс. т</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637,8</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r>
      <w:tr>
        <w:tc>
          <w:tcPr>
            <w:tcW w:type="dxa" w:w="57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Гранулы, каменная крошка, галька, гравий, щебень или дробленный камень, тыс. т</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1332,6</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1400,0</w:t>
            </w:r>
          </w:p>
        </w:tc>
      </w:tr>
      <w:tr>
        <w:tc>
          <w:tcPr>
            <w:tcW w:type="dxa" w:w="57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Глина и каолин, тыс. т</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212,7</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230,0</w:t>
            </w:r>
          </w:p>
        </w:tc>
      </w:tr>
      <w:tr>
        <w:tc>
          <w:tcPr>
            <w:tcW w:type="dxa" w:w="57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Обрабатывающие производства</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Масло растительное, т</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13827,1</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13965,4</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14105,0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14246,1</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14388,5</w:t>
            </w:r>
          </w:p>
        </w:tc>
      </w:tr>
      <w:tr>
        <w:tc>
          <w:tcPr>
            <w:tcW w:type="dxa" w:w="57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Водка, тыс. дал</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886,6</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620,6</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638,3</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656,0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673,8</w:t>
            </w:r>
          </w:p>
        </w:tc>
      </w:tr>
      <w:tr>
        <w:tc>
          <w:tcPr>
            <w:tcW w:type="dxa" w:w="57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Пиво, тыс. дал</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2629,4</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2629,4</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2655,7</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2682,2</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2709,1</w:t>
            </w:r>
          </w:p>
        </w:tc>
      </w:tr>
      <w:tr>
        <w:tc>
          <w:tcPr>
            <w:tcW w:type="dxa" w:w="57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Воды минеральные, газированные, неподслащенные и неароматизированные, тыс. дал</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3682,8</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3719,6</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3756,8</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3794,3</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3832,3</w:t>
            </w:r>
          </w:p>
        </w:tc>
      </w:tr>
      <w:tr>
        <w:tc>
          <w:tcPr>
            <w:tcW w:type="dxa" w:w="57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Напитки безалкогольные, тыс. дал</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11190,5</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11302,4</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11415,4</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11529,6</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11644,9</w:t>
            </w:r>
          </w:p>
        </w:tc>
      </w:tr>
      <w:tr>
        <w:tc>
          <w:tcPr>
            <w:tcW w:type="dxa" w:w="57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Мука из зерновых культур, тыс. т</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243,3</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245,7</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248,2</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250,6</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253,1</w:t>
            </w:r>
          </w:p>
        </w:tc>
      </w:tr>
      <w:tr>
        <w:tc>
          <w:tcPr>
            <w:tcW w:type="dxa" w:w="57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Сахар-песок, тыс. т</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w:t>
            </w:r>
          </w:p>
        </w:tc>
      </w:tr>
      <w:tr>
        <w:tc>
          <w:tcPr>
            <w:tcW w:type="dxa" w:w="57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Сигареты, млн. шт.</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57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Волокно хлопковое кардочесанное и гребнечесанное, тыс. т</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w:t>
            </w:r>
          </w:p>
        </w:tc>
      </w:tr>
      <w:tr>
        <w:tc>
          <w:tcPr>
            <w:tcW w:type="dxa" w:w="57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Ткани готовые всех видов, тыс. м</w:t>
            </w:r>
            <w:r>
              <w:rPr>
                <w:rFonts w:ascii="Arial" w:cs="Arial" w:eastAsia="Arial" w:hAnsi="Arial"/>
                <w:sz w:val="24"/>
                <w:szCs w:val="24"/>
              </w:rPr>
              <w:t xml:space="preserve">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r>
      <w:tr>
        <w:tc>
          <w:tcPr>
            <w:tcW w:type="dxa" w:w="57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Текстильное производство; производство одежды и обуви, кожи и прочих кожаных изделий, млн. сомов</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4896,4</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4770,3</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5099,2</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5837,6</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6776,6</w:t>
            </w:r>
          </w:p>
        </w:tc>
      </w:tr>
      <w:tr>
        <w:tc>
          <w:tcPr>
            <w:tcW w:type="dxa" w:w="57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Листовое стекло, млн. м</w:t>
            </w:r>
            <w:r>
              <w:rPr>
                <w:rFonts w:ascii="Arial" w:cs="Arial" w:eastAsia="Arial" w:hAnsi="Arial"/>
                <w:sz w:val="24"/>
                <w:szCs w:val="24"/>
              </w:rPr>
              <w:t xml:space="preserve">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r>
      <w:tr>
        <w:tc>
          <w:tcPr>
            <w:tcW w:type="dxa" w:w="57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Тракторные прицепы, шт.</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r>
      <w:tr>
        <w:tc>
          <w:tcPr>
            <w:tcW w:type="dxa" w:w="57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Радиаторы, тыс. шт.</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80,2</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94,0</w:t>
            </w:r>
          </w:p>
        </w:tc>
      </w:tr>
      <w:tr>
        <w:tc>
          <w:tcPr>
            <w:tcW w:type="dxa" w:w="57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Шифер гофрированный, листы, панели и изделия аналогичные из асбестоцемента, тыс. листов</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1690,0</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1800,0</w:t>
            </w:r>
          </w:p>
        </w:tc>
      </w:tr>
      <w:tr>
        <w:tc>
          <w:tcPr>
            <w:tcW w:type="dxa" w:w="57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Цемент, портландцемент, тыс. т</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1494,4</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1700,0</w:t>
            </w:r>
          </w:p>
        </w:tc>
      </w:tr>
      <w:tr>
        <w:tc>
          <w:tcPr>
            <w:tcW w:type="dxa" w:w="57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Золото, т</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r>
      <w:tr>
        <w:tc>
          <w:tcPr>
            <w:tcW w:type="dxa" w:w="57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Сурьма, т</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57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Ртуть, т</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r>
      <w:tr>
        <w:tc>
          <w:tcPr>
            <w:tcW w:type="dxa" w:w="57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Моторное топливо, тыс. т</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w:t>
            </w:r>
          </w:p>
        </w:tc>
      </w:tr>
      <w:tr>
        <w:tc>
          <w:tcPr>
            <w:tcW w:type="dxa" w:w="57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Дизельное топливо, тыс. т</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54,9</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117,7</w:t>
            </w:r>
          </w:p>
        </w:tc>
      </w:tr>
      <w:tr>
        <w:tc>
          <w:tcPr>
            <w:tcW w:type="dxa" w:w="57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тыс. т</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85,9</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w:t>
            </w:r>
          </w:p>
        </w:tc>
      </w:tr>
      <w:tr>
        <w:tc>
          <w:tcPr>
            <w:tcW w:type="dxa" w:w="57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Лампы накаливания, млн. шт.</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167,4</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172,0</w:t>
            </w:r>
          </w:p>
        </w:tc>
      </w:tr>
      <w:tr>
        <w:tc>
          <w:tcPr>
            <w:tcW w:type="dxa" w:w="57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Обеспечение (снабжение) электроэнергией, газом, паром и кондиционированным воздухом</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Электроэнергия, млн. кВт. час</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12977,6</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13052,1</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13698,3</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13969,2</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14379,8</w:t>
            </w:r>
          </w:p>
        </w:tc>
      </w:tr>
      <w:tr>
        <w:tc>
          <w:tcPr>
            <w:tcW w:type="dxa" w:w="57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Тепловая энергия, Гкал</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2904,1</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3200,0</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3200,0</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к Прогнозу социально-экономического развития Кыргызской Республики на 2017 год и 2018-2019 годы</w:t>
      </w:r>
    </w:p>
    <w:p>
      <w:pPr>
        <w:spacing w:after="400" w:before="400"/>
        <w:jc w:val="center"/>
      </w:pPr>
      <w:r>
        <w:rPr>
          <w:rFonts w:ascii="Arial" w:cs="Arial" w:eastAsia="Arial" w:hAnsi="Arial"/>
          <w:b/>
          <w:bCs/>
          <w:sz w:val="32"/>
          <w:szCs w:val="32"/>
        </w:rPr>
        <w:t xml:space="preserve">ПРОГНОЗ
 производства золота в Кыргызской Республике на 2017 год и 2018-2019 годы(12)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05"/>
        <w:gridCol w:w="1237"/>
        <w:gridCol w:w="934"/>
        <w:gridCol w:w="934"/>
        <w:gridCol w:w="934"/>
        <w:gridCol w:w="934"/>
      </w:tblGrid>
      <w:tr>
        <w:tc>
          <w:tcPr>
            <w:tcW w:type="dxa" w:w="520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2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9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9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9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9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52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золота, сплав Доре, кг</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16516,6</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16677,0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15816,8</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15093,8</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16454,4</w:t>
            </w:r>
          </w:p>
        </w:tc>
      </w:tr>
      <w:tr>
        <w:tc>
          <w:tcPr>
            <w:tcW w:type="dxa" w:w="52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Закрытое акционерное общество "Кумтор Голд Компани"</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золота, сплав Доре, кг</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16195,3</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16173,8</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14618,6</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13713,6</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14774,2</w:t>
            </w:r>
          </w:p>
        </w:tc>
      </w:tr>
      <w:tr>
        <w:tc>
          <w:tcPr>
            <w:tcW w:type="dxa" w:w="52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91,7</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99,9</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90,4</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93,8</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
 к Прогнозу социально-экономического развития Кыргызской Республики на 2017 год и 2018-2019 годы</w:t>
      </w:r>
    </w:p>
    <w:p>
      <w:pPr>
        <w:spacing w:after="400" w:before="400"/>
        <w:jc w:val="center"/>
      </w:pPr>
      <w:r>
        <w:rPr>
          <w:rFonts w:ascii="Arial" w:cs="Arial" w:eastAsia="Arial" w:hAnsi="Arial"/>
          <w:b/>
          <w:bCs/>
          <w:sz w:val="32"/>
          <w:szCs w:val="32"/>
        </w:rPr>
        <w:t xml:space="preserve">ПРОГНОЗ
 развития сферы услуг в Кыргызской Республике на 2017 год и 2018-2019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59"/>
        <w:gridCol w:w="971"/>
        <w:gridCol w:w="939"/>
        <w:gridCol w:w="939"/>
        <w:gridCol w:w="931"/>
        <w:gridCol w:w="931"/>
        <w:gridCol w:w="931"/>
        <w:gridCol w:w="939"/>
        <w:gridCol w:w="939"/>
      </w:tblGrid>
      <w:tr>
        <w:tc>
          <w:tcPr>
            <w:tcW w:type="dxa" w:w="265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9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9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9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2793"/>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w:t>
            </w:r>
          </w:p>
        </w:tc>
        <w:tc>
          <w:tcPr>
            <w:tcW w:type="dxa" w:w="9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9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янв.-март</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янв.-июнь</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янв.-сент.</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выпуск сферы услуг, млн. сомов</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372326,6</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399842,9</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439595,7</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80768,8</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180475,4</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291559,5</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483844,6</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535910,6</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Оптовая и розничная торговля; ремонт автомобилей и мотоциклов, млн. сомов</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128089,2</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139735,6</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156873,3</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23794,0</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55066,1</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97171,9</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175858,0</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198350,5</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Транспортная деятельность и хранение грузов, млн. сомов</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40460,0</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43427,3</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49591,1</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10921,2</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21636,9</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33878,9</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55565,5</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62787,1</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Гостиницы и рестораны, млн. сомов</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20448,7</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22886,1</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26152,5</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3690,0</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8773,3</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16271,5</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29773,7</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34311,2</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Информация и связь, млн. сомов</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32195,5</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33364,8</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34430,9</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7753,3</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16050,2</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25227,2</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35157,7</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35899,9</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Финансовое посредничество и страхование, млн. сомов</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22501,9</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23658,7</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25306,3</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5306,3</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11089,4</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17688,8</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27341,7</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29658,7</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Операции с недвижимым имуществом, млн. сомов</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17149,3</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18762,9</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19917,0</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4587,4</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9308,8</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14409,9</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21936,8</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24237,0</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99,2</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Профессиональная, научная и техническая деятельность, млн. сомов</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13119,9</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13980,5</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14957,0</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4237,2</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8118,8</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11250,5</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16138,5</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17343,1</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117,0</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Административная и вспомогательная деятельность, млн. сомов</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3507,9</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3684,7</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3949,1</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817,1</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1816,0</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2858,1</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4216,8</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4497,6</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99,2</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 управление и оборона; обязательное социальное обеспечение, млн. сомов</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34810,5</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36333,6</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39473,0</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7269,0</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17309,0</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26852,9</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43505,0</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48234,3</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99,9</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111,6</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Образование, млн. сомов</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27738,5</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29736,2</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32028,4</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5654,9</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15613,8</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20920,9</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34395,7</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37048,3</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Здравоохранение и социальное обслуживание населения, млн. сомов</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18488,2</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19347,3</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20857,5</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3679,9</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8769,4</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13852,5</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22549,4</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24652,7</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116,2</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Искусство, развлечения и отдых, млн. сомов</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4795,7</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5155,0</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5589,4</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950,3</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2250,5</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3824,7</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6151,6</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6782,9</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131,7</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Прочая обслуживающая деятельность, млн. сомов</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9021,3</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9770,1</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10470,2</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2108,2</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4673,1</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7351,7</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11254,3</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12107,4</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r>
      <w:tr>
        <w:tc>
          <w:tcPr>
            <w:tcW w:type="dxa" w:w="26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9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10
 к Прогнозу социально-экономического развития Кыргызской Республики на 2017 год и 2018-2019 годы</w:t>
      </w:r>
    </w:p>
    <w:p>
      <w:pPr>
        <w:spacing w:after="400" w:before="400"/>
        <w:jc w:val="center"/>
      </w:pPr>
      <w:r>
        <w:rPr>
          <w:rFonts w:ascii="Arial" w:cs="Arial" w:eastAsia="Arial" w:hAnsi="Arial"/>
          <w:b/>
          <w:bCs/>
          <w:sz w:val="32"/>
          <w:szCs w:val="32"/>
        </w:rPr>
        <w:t xml:space="preserve">ПРОГНОЗ
 объема оказанных рыночных услуг в Кыргызской Республике на 2016 год и 2017-2018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95"/>
        <w:gridCol w:w="975"/>
        <w:gridCol w:w="932"/>
        <w:gridCol w:w="932"/>
        <w:gridCol w:w="960"/>
        <w:gridCol w:w="960"/>
        <w:gridCol w:w="960"/>
        <w:gridCol w:w="932"/>
        <w:gridCol w:w="932"/>
      </w:tblGrid>
      <w:tr>
        <w:tc>
          <w:tcPr>
            <w:tcW w:type="dxa" w:w="259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9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9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9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288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w:t>
            </w:r>
          </w:p>
        </w:tc>
        <w:tc>
          <w:tcPr>
            <w:tcW w:type="dxa" w:w="9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9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янв.-март</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янв.-июнь</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янв.-сент.</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оказанных рыночных услуг, млн. сомов</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568724,0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613688,8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680002,2</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106300,4</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245078,5</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422935,4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752708,8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838651,5</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Оптовая и розничная торговля; ремонт автомобилей и мотоциклов, млн. сомов</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428072,9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464316,1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518805,4</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76686,1</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179526,5</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315231,9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578850,5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649817,4</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Гостиницы и рестораны,</w:t>
            </w:r>
          </w:p>
          <w:p>
            <w:pPr>
              <w:jc w:val="left"/>
            </w:pPr>
            <w:r>
              <w:rPr>
                <w:rFonts w:ascii="Arial" w:cs="Arial" w:eastAsia="Arial" w:hAnsi="Arial"/>
                <w:sz w:val="24"/>
                <w:szCs w:val="24"/>
              </w:rPr>
              <w:t xml:space="preserve">млн. сомов</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19799,6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22075,9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25132,4</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3594,9</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8433,8</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15532,9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28505,1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32727,0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Информация и связь, млн. сомов</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33598,6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34818,9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35931,4</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7881,3</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16625,4</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25517,4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36689,9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37464,4</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млн. сомов</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87252,9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92477,9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100133,0</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18138,0</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40492,8</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66653,3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108663,3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118642,6</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11
 к Прогнозу социально-экономического развития Кыргызской Республики на 2017 год и 2018-2019 годы</w:t>
      </w:r>
    </w:p>
    <w:p>
      <w:pPr>
        <w:spacing w:after="400" w:before="400"/>
        <w:jc w:val="center"/>
      </w:pPr>
      <w:r>
        <w:rPr>
          <w:rFonts w:ascii="Arial" w:cs="Arial" w:eastAsia="Arial" w:hAnsi="Arial"/>
          <w:b/>
          <w:bCs/>
          <w:sz w:val="32"/>
          <w:szCs w:val="32"/>
        </w:rPr>
        <w:t xml:space="preserve">ПРОГНОЗ
 объема инвестиций в основной капитал в Кыргызской Республике на 2017 год и 2018-2019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49"/>
        <w:gridCol w:w="912"/>
        <w:gridCol w:w="865"/>
        <w:gridCol w:w="865"/>
        <w:gridCol w:w="893"/>
        <w:gridCol w:w="893"/>
        <w:gridCol w:w="893"/>
        <w:gridCol w:w="865"/>
        <w:gridCol w:w="942"/>
      </w:tblGrid>
      <w:tr>
        <w:tc>
          <w:tcPr>
            <w:tcW w:type="dxa" w:w="304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9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8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8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2679"/>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w:t>
            </w:r>
          </w:p>
        </w:tc>
        <w:tc>
          <w:tcPr>
            <w:tcW w:type="dxa" w:w="8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9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янв.-март</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янв.-июнь</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янв.-сент.</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9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30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Инвестиции в основной капитал, млн. сомов</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120878,9</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137018,1</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156645,9</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17793,3</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43227,0</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81827,3</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181618,7</w:t>
            </w:r>
          </w:p>
        </w:tc>
        <w:tc>
          <w:tcPr>
            <w:tcW w:type="dxa" w:w="9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212367,6</w:t>
            </w:r>
          </w:p>
        </w:tc>
      </w:tr>
      <w:tr>
        <w:tc>
          <w:tcPr>
            <w:tcW w:type="dxa" w:w="30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110,7</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112,5</w:t>
            </w:r>
          </w:p>
        </w:tc>
        <w:tc>
          <w:tcPr>
            <w:tcW w:type="dxa" w:w="9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w:t>
            </w:r>
          </w:p>
        </w:tc>
      </w:tr>
      <w:tr>
        <w:tc>
          <w:tcPr>
            <w:tcW w:type="dxa" w:w="30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инвестиции</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69826,6</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7940,5</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87152,7</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13964,6</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33831,3</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63847,5</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96903,2</w:t>
            </w:r>
          </w:p>
        </w:tc>
        <w:tc>
          <w:tcPr>
            <w:tcW w:type="dxa" w:w="9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108215,6</w:t>
            </w:r>
          </w:p>
        </w:tc>
      </w:tr>
      <w:tr>
        <w:tc>
          <w:tcPr>
            <w:tcW w:type="dxa" w:w="30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112,5</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9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r>
      <w:tr>
        <w:tc>
          <w:tcPr>
            <w:tcW w:type="dxa" w:w="30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(включая средства на чрезвычайные ситуации)</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4374,2</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6742,3</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5343,0</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703,8</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1567,9</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3656,7</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5399,0</w:t>
            </w:r>
          </w:p>
        </w:tc>
        <w:tc>
          <w:tcPr>
            <w:tcW w:type="dxa" w:w="9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5500,0</w:t>
            </w:r>
          </w:p>
        </w:tc>
      </w:tr>
      <w:tr>
        <w:tc>
          <w:tcPr>
            <w:tcW w:type="dxa" w:w="30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1219,9</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1260,3</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1285,1</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69,7</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349,4</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958,6</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1371,8</w:t>
            </w:r>
          </w:p>
        </w:tc>
        <w:tc>
          <w:tcPr>
            <w:tcW w:type="dxa" w:w="9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1482,5</w:t>
            </w:r>
          </w:p>
        </w:tc>
      </w:tr>
      <w:tr>
        <w:tc>
          <w:tcPr>
            <w:tcW w:type="dxa" w:w="30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предприятий и организаций</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36829,5</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41931,1</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47816,3</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6185,4</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17533,8</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32957,5</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52821,1</w:t>
            </w:r>
          </w:p>
        </w:tc>
        <w:tc>
          <w:tcPr>
            <w:tcW w:type="dxa" w:w="9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59148,4</w:t>
            </w:r>
          </w:p>
        </w:tc>
      </w:tr>
      <w:tr>
        <w:tc>
          <w:tcPr>
            <w:tcW w:type="dxa" w:w="30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 банков</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1072,0</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1141,2</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1168,2</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1361,1</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1231,9</w:t>
            </w:r>
          </w:p>
        </w:tc>
        <w:tc>
          <w:tcPr>
            <w:tcW w:type="dxa" w:w="9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1321,9</w:t>
            </w:r>
          </w:p>
        </w:tc>
      </w:tr>
      <w:tr>
        <w:tc>
          <w:tcPr>
            <w:tcW w:type="dxa" w:w="30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населения и благотворительная помощь резидентов Кыргызской Республики</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26331,0</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27965,6</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31540,1</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6980,4</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14274,5</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24913,6</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36079,4</w:t>
            </w:r>
          </w:p>
        </w:tc>
        <w:tc>
          <w:tcPr>
            <w:tcW w:type="dxa" w:w="9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40762,8</w:t>
            </w:r>
          </w:p>
        </w:tc>
      </w:tr>
      <w:tr>
        <w:tc>
          <w:tcPr>
            <w:tcW w:type="dxa" w:w="30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инвестиции</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51052,3</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57977,6</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69493,2</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3828,7</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9395,7</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17979,8</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84715,5</w:t>
            </w:r>
          </w:p>
        </w:tc>
        <w:tc>
          <w:tcPr>
            <w:tcW w:type="dxa" w:w="9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104152,0</w:t>
            </w:r>
          </w:p>
        </w:tc>
      </w:tr>
      <w:tr>
        <w:tc>
          <w:tcPr>
            <w:tcW w:type="dxa" w:w="30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116,3</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110,9</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116,2</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118,2</w:t>
            </w:r>
          </w:p>
        </w:tc>
        <w:tc>
          <w:tcPr>
            <w:tcW w:type="dxa" w:w="9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118,8</w:t>
            </w:r>
          </w:p>
        </w:tc>
      </w:tr>
      <w:tr>
        <w:tc>
          <w:tcPr>
            <w:tcW w:type="dxa" w:w="30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Иностранные кредиты</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37048,7</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43072,3</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52906,4</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2171,2</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6559,9</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8640,3</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63951,4</w:t>
            </w:r>
          </w:p>
        </w:tc>
        <w:tc>
          <w:tcPr>
            <w:tcW w:type="dxa" w:w="9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78337,6</w:t>
            </w:r>
          </w:p>
        </w:tc>
      </w:tr>
      <w:tr>
        <w:tc>
          <w:tcPr>
            <w:tcW w:type="dxa" w:w="30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Прямые иностранные инвестиции</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11840,3</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12294,6</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13791,6</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1285,2</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1667,2</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7271,8</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17727,9</w:t>
            </w:r>
          </w:p>
        </w:tc>
        <w:tc>
          <w:tcPr>
            <w:tcW w:type="dxa" w:w="9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22480,5</w:t>
            </w:r>
          </w:p>
        </w:tc>
      </w:tr>
      <w:tr>
        <w:tc>
          <w:tcPr>
            <w:tcW w:type="dxa" w:w="30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Иностранные гранты и гуманитарная помощь</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2163,3</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2610,7</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2795,2</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372,3</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1168,6</w:t>
            </w:r>
          </w:p>
        </w:tc>
        <w:tc>
          <w:tcPr>
            <w:tcW w:type="dxa" w:w="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2067,7</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3036,2</w:t>
            </w:r>
          </w:p>
        </w:tc>
        <w:tc>
          <w:tcPr>
            <w:tcW w:type="dxa" w:w="9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3333,9</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12
 к Прогнозу социально-экономического развития Кыргызской Республики на 2017 год и 2018-2019 годы</w:t>
      </w:r>
    </w:p>
    <w:p>
      <w:pPr>
        <w:spacing w:after="400" w:before="400"/>
        <w:jc w:val="center"/>
      </w:pPr>
      <w:r>
        <w:rPr>
          <w:rFonts w:ascii="Arial" w:cs="Arial" w:eastAsia="Arial" w:hAnsi="Arial"/>
          <w:b/>
          <w:bCs/>
          <w:sz w:val="32"/>
          <w:szCs w:val="32"/>
        </w:rPr>
        <w:t xml:space="preserve">ПРОГНОЗ
 экспорта и импорта товаров и услуг в Кыргызской Республике на 2017 год и 2018-2019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19"/>
        <w:gridCol w:w="1973"/>
        <w:gridCol w:w="957"/>
        <w:gridCol w:w="957"/>
        <w:gridCol w:w="957"/>
        <w:gridCol w:w="957"/>
        <w:gridCol w:w="957"/>
      </w:tblGrid>
      <w:tr>
        <w:tc>
          <w:tcPr>
            <w:tcW w:type="dxa" w:w="341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97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9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9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9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9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9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3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товаров</w:t>
            </w:r>
          </w:p>
        </w:tc>
        <w:tc>
          <w:tcPr>
            <w:tcW w:type="dxa" w:w="19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1676,3</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2100,0</w:t>
            </w:r>
          </w:p>
        </w:tc>
      </w:tr>
      <w:tr>
        <w:tc>
          <w:tcPr>
            <w:tcW w:type="dxa" w:w="3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9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r>
      <w:tr>
        <w:tc>
          <w:tcPr>
            <w:tcW w:type="dxa" w:w="3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товаров</w:t>
            </w:r>
          </w:p>
        </w:tc>
        <w:tc>
          <w:tcPr>
            <w:tcW w:type="dxa" w:w="19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4069,5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4400,0</w:t>
            </w:r>
          </w:p>
        </w:tc>
      </w:tr>
      <w:tr>
        <w:tc>
          <w:tcPr>
            <w:tcW w:type="dxa" w:w="3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9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r>
      <w:tr>
        <w:tc>
          <w:tcPr>
            <w:tcW w:type="dxa" w:w="3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Сальдо экспорта и импорта товаров</w:t>
            </w:r>
          </w:p>
        </w:tc>
        <w:tc>
          <w:tcPr>
            <w:tcW w:type="dxa" w:w="19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-2393,2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-2300,0</w:t>
            </w:r>
          </w:p>
        </w:tc>
      </w:tr>
      <w:tr>
        <w:tc>
          <w:tcPr>
            <w:tcW w:type="dxa" w:w="3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9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97,9</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97,9</w:t>
            </w:r>
          </w:p>
        </w:tc>
      </w:tr>
      <w:tr>
        <w:tc>
          <w:tcPr>
            <w:tcW w:type="dxa" w:w="3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Внешнеторговый оборот</w:t>
            </w:r>
          </w:p>
        </w:tc>
        <w:tc>
          <w:tcPr>
            <w:tcW w:type="dxa" w:w="19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5745,8</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6250,0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6500,0</w:t>
            </w:r>
          </w:p>
        </w:tc>
      </w:tr>
      <w:tr>
        <w:tc>
          <w:tcPr>
            <w:tcW w:type="dxa" w:w="3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9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75,4</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13
 к Прогнозу социально-экономического развития Кыргызской Республики на 2017 год и 2018-2019 годы</w:t>
      </w:r>
    </w:p>
    <w:p>
      <w:pPr>
        <w:spacing w:after="400" w:before="400"/>
        <w:jc w:val="center"/>
      </w:pPr>
      <w:r>
        <w:rPr>
          <w:rFonts w:ascii="Arial" w:cs="Arial" w:eastAsia="Arial" w:hAnsi="Arial"/>
          <w:b/>
          <w:bCs/>
          <w:sz w:val="32"/>
          <w:szCs w:val="32"/>
        </w:rPr>
        <w:t xml:space="preserve">ПРОГНОЗ
 экспорта основных видов продукции из Кыргызской Республики на 2017 год и 2018-2019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68"/>
        <w:gridCol w:w="1834"/>
        <w:gridCol w:w="894"/>
        <w:gridCol w:w="894"/>
        <w:gridCol w:w="924"/>
        <w:gridCol w:w="924"/>
        <w:gridCol w:w="1040"/>
      </w:tblGrid>
      <w:tr>
        <w:tc>
          <w:tcPr>
            <w:tcW w:type="dxa" w:w="366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83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8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8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9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9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0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36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товаров</w:t>
            </w:r>
          </w:p>
        </w:tc>
        <w:tc>
          <w:tcPr>
            <w:tcW w:type="dxa" w:w="1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1676,3</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1950,0</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2100,0</w:t>
            </w:r>
          </w:p>
        </w:tc>
      </w:tr>
      <w:tr>
        <w:tc>
          <w:tcPr>
            <w:tcW w:type="dxa" w:w="36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89,0</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r>
      <w:tr>
        <w:tc>
          <w:tcPr>
            <w:tcW w:type="dxa" w:w="36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8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Золото(*)</w:t>
            </w:r>
          </w:p>
        </w:tc>
        <w:tc>
          <w:tcPr>
            <w:tcW w:type="dxa" w:w="1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665,4</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643,0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633,7</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629,9</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688,3</w:t>
            </w:r>
          </w:p>
        </w:tc>
      </w:tr>
      <w:tr>
        <w:tc>
          <w:tcPr>
            <w:tcW w:type="dxa" w:w="36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92,8</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96,6</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98,6</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99,4</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r>
      <w:tr>
        <w:tc>
          <w:tcPr>
            <w:tcW w:type="dxa" w:w="36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Лампы накаливания</w:t>
            </w:r>
          </w:p>
        </w:tc>
        <w:tc>
          <w:tcPr>
            <w:tcW w:type="dxa" w:w="1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r>
      <w:tr>
        <w:tc>
          <w:tcPr>
            <w:tcW w:type="dxa" w:w="36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79,9</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36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Стекло листовое</w:t>
            </w:r>
          </w:p>
        </w:tc>
        <w:tc>
          <w:tcPr>
            <w:tcW w:type="dxa" w:w="1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w:t>
            </w:r>
          </w:p>
        </w:tc>
      </w:tr>
      <w:tr>
        <w:tc>
          <w:tcPr>
            <w:tcW w:type="dxa" w:w="36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42,7</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164,3</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111,1</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r>
      <w:tr>
        <w:tc>
          <w:tcPr>
            <w:tcW w:type="dxa" w:w="36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Цемент</w:t>
            </w:r>
          </w:p>
        </w:tc>
        <w:tc>
          <w:tcPr>
            <w:tcW w:type="dxa" w:w="1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r>
      <w:tr>
        <w:tc>
          <w:tcPr>
            <w:tcW w:type="dxa" w:w="36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97,5</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36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Предметы одежды и одежные принадлежности</w:t>
            </w:r>
          </w:p>
        </w:tc>
        <w:tc>
          <w:tcPr>
            <w:tcW w:type="dxa" w:w="1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40,5</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53,0</w:t>
            </w:r>
          </w:p>
        </w:tc>
      </w:tr>
      <w:tr>
        <w:tc>
          <w:tcPr>
            <w:tcW w:type="dxa" w:w="36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115,2</w:t>
            </w:r>
          </w:p>
        </w:tc>
      </w:tr>
      <w:tr>
        <w:tc>
          <w:tcPr>
            <w:tcW w:type="dxa" w:w="36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Электроэнергия</w:t>
            </w:r>
          </w:p>
        </w:tc>
        <w:tc>
          <w:tcPr>
            <w:tcW w:type="dxa" w:w="1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0,027</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0,057</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0,054</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0,052</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56,5</w:t>
            </w:r>
          </w:p>
        </w:tc>
      </w:tr>
      <w:tr>
        <w:tc>
          <w:tcPr>
            <w:tcW w:type="dxa" w:w="36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211,1</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94,7</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96,3</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1086,5 р.</w:t>
            </w:r>
          </w:p>
        </w:tc>
      </w:tr>
      <w:tr>
        <w:tc>
          <w:tcPr>
            <w:tcW w:type="dxa" w:w="36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Овощи и фрукты</w:t>
            </w:r>
          </w:p>
        </w:tc>
        <w:tc>
          <w:tcPr>
            <w:tcW w:type="dxa" w:w="1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113,4</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120,5</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137,9</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150,8</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161,3</w:t>
            </w:r>
          </w:p>
        </w:tc>
      </w:tr>
      <w:tr>
        <w:tc>
          <w:tcPr>
            <w:tcW w:type="dxa" w:w="36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67,5</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r>
      <w:tr>
        <w:tc>
          <w:tcPr>
            <w:tcW w:type="dxa" w:w="36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Хлопок-волокно</w:t>
            </w:r>
          </w:p>
        </w:tc>
        <w:tc>
          <w:tcPr>
            <w:tcW w:type="dxa" w:w="1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w:t>
            </w:r>
          </w:p>
        </w:tc>
      </w:tr>
      <w:tr>
        <w:tc>
          <w:tcPr>
            <w:tcW w:type="dxa" w:w="36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66,0</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132,7</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114,9</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r>
    </w:tbl>
    <w:p>
      <w:pPr>
        <w:spacing w:after="60" w:before="120"/>
        <w:ind w:firstLine="567"/>
        <w:jc w:val="both"/>
      </w:pPr>
      <w:r>
        <w:rPr>
          <w:rFonts w:ascii="Arial" w:cs="Arial" w:eastAsia="Arial" w:hAnsi="Arial"/>
          <w:sz w:val="24"/>
          <w:szCs w:val="24"/>
        </w:rPr>
        <w:t xml:space="preserve">(*) Информация о данном виде производства относится к ДСП и представляется в установленном порядке.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14
 к Прогнозу социально-экономического развития Кыргызской Республики на 2017 год и 2018-2019 годы</w:t>
      </w:r>
    </w:p>
    <w:p>
      <w:pPr>
        <w:spacing w:after="400" w:before="400"/>
        <w:jc w:val="center"/>
      </w:pPr>
      <w:r>
        <w:rPr>
          <w:rFonts w:ascii="Arial" w:cs="Arial" w:eastAsia="Arial" w:hAnsi="Arial"/>
          <w:b/>
          <w:bCs/>
          <w:sz w:val="32"/>
          <w:szCs w:val="32"/>
        </w:rPr>
        <w:t xml:space="preserve">ПРОГНОЗ
 импорта основных товаров в Кыргызскую Республику на 2017 год и 2018-2019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86"/>
        <w:gridCol w:w="1569"/>
        <w:gridCol w:w="843"/>
        <w:gridCol w:w="843"/>
        <w:gridCol w:w="879"/>
        <w:gridCol w:w="879"/>
        <w:gridCol w:w="879"/>
      </w:tblGrid>
      <w:tr>
        <w:tc>
          <w:tcPr>
            <w:tcW w:type="dxa" w:w="428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56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8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8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8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8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8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товаров всего</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4069,5</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4100,0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4200,0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4300,0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4400,0</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Нефтепродукты</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658,6</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733,5</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742,5</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751,5</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760,5</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111,4</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Бензин</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279,7</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340,0</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61,1</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116,2</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Авиакеросин</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51,6</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54,7</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55,3</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55,8</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56,4</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62,3</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Дизтопливо</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216,9</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243,8</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270,3</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275,6</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58,9</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112,4</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66,9</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65,1</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65,4</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65,7</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66,1</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97,3</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40,3</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40,5</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38,9</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87,6</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96,2</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95,8</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 природный</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40,2</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61,2</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68,6</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84,0</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79,6</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152,2</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112,1</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116,7</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Электроэнергия</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35,25</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47,7</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45,7</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785,5</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135,3</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95,8</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Машины, специально предназначенные для конкретных отраслей</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358,7</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385,0</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Электрические машины, оборудование и аппаратура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172,1</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190,0</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79,8</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наземного транспорта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205,8</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210,0</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Черные металлы и изделия из них</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418,5</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422,0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440,0</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Пластмассы и изделия из них</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122,5</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135,0</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70,8</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Каучук, резина и изделия из нее</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62,6</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Удобрения</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38,7</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55,1</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Лесоматериалы</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68,8</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73,0</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46,5</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Бумага, картон и изделия из них</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66,0</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70,5</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68,3</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69,4</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63,9</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96,9</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Фармацевтическая продукция</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147,8</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149,4</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153,7</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160,1</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166,5</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74,1</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Продовольственные товары (включая сельхозсырье)</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573,5</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575,0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580,0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590,0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68,0</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Алкогольная продукция</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Водка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50,7</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91,9</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Пиво</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63,8</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Табачные изделия</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54,1</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58,0</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67,5</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Пшеница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61,3</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74,4</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78,1</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81,8</w:t>
            </w:r>
          </w:p>
        </w:tc>
      </w:tr>
      <w:tr>
        <w:tc>
          <w:tcPr>
            <w:tcW w:type="dxa" w:w="4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61,1</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121,4</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15
 к Прогнозу социально-экономического развития Кыргызской Республики на 2017 год и 2018-2019 годы</w:t>
      </w:r>
    </w:p>
    <w:p>
      <w:pPr>
        <w:spacing w:after="400" w:before="400"/>
        <w:jc w:val="center"/>
      </w:pPr>
      <w:r>
        <w:rPr>
          <w:rFonts w:ascii="Arial" w:cs="Arial" w:eastAsia="Arial" w:hAnsi="Arial"/>
          <w:b/>
          <w:bCs/>
          <w:sz w:val="32"/>
          <w:szCs w:val="32"/>
        </w:rPr>
        <w:t xml:space="preserve">ПРОГНОЗНЫЕ ПОКАЗАТЕЛИ
 развития регионов Кыргызской Республики на 2017 год и 2018-2019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95"/>
        <w:gridCol w:w="971"/>
        <w:gridCol w:w="938"/>
        <w:gridCol w:w="932"/>
        <w:gridCol w:w="959"/>
        <w:gridCol w:w="959"/>
        <w:gridCol w:w="959"/>
        <w:gridCol w:w="932"/>
        <w:gridCol w:w="932"/>
      </w:tblGrid>
      <w:tr>
        <w:tc>
          <w:tcPr>
            <w:tcW w:type="dxa" w:w="259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9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9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9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287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w:t>
            </w:r>
          </w:p>
        </w:tc>
        <w:tc>
          <w:tcPr>
            <w:tcW w:type="dxa" w:w="9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9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янв.-март</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янв.-июнь</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янв.-сент.</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10177"/>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Валовой региональный продукт (млн. сомов)</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423635,5</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454389,0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494444,3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541404,8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598645,9</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17561,5</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18369,4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19922,2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21744,5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23874,8</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48167,1</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51680,0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56426,7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62228,2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69429,5</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52683,8</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55026,9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55842,5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57626,9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63334,2</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11960,9</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12961,3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14187,6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15695,6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17331,5</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32655,3</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34238,9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37368,3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40569,4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45010,1</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13840,9</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14643,0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15859,9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17305,8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18865,2</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66131,9</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70964,4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77631,0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85034,7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94626,9</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157164,3</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171413,1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189890,3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211282,4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233053,5</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99,7</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23469,8</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25091,9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27315,7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29917,3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33120,0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r>
      <w:tr>
        <w:tc>
          <w:tcPr>
            <w:tcW w:type="dxa" w:w="10177"/>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Валовая продукция сельского хозяйства, лесного хозяйства и рыболовства (млн. сомов)</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197065,8</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206259,0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222185,4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23997,2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62094,7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176542,4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239612,3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259374,9</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94,8</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15126,6</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15387,8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16426,0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1604,0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4860,5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13270,9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17714,4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19155,1</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95,3</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39465,7</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41556,8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44675,6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3754,9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11789,5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36385,4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48273,5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51965,3</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21799,5</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22708,6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24516,4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2985,7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7086,3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18246,3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26559,7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28542,4</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14363,9</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16338,5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3190,0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6153,3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12483,9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17864,7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19544,1</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35700,9</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37444,7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40236,0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4608,3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12589,9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32595,9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43341,9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46730,3</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18129,8</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18835,6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20240,0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1536,3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4016,5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15131,6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21897,5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23827,2</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51231,5</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53613,8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58057,2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5903,6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14776,2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47056,0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62212,4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67692,3</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404,1</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835,3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766,4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291,5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557,7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792,7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808,5</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96,7</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843,8</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876,2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929,3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721,7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955,6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1109,7</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r>
      <w:tr>
        <w:tc>
          <w:tcPr>
            <w:tcW w:type="dxa" w:w="10177"/>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Валовая продукция промышленности(13) (млн. сомов)</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174341,8</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184052,9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188593,6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197326,6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214521,4</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4537,6</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4623,9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4914,6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5203,3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5551,9</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19822,4</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21458,7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23219,6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25208,2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27484,8</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115,3</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43362,4</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44311,8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41299,4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40327,1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43472,6</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92,4</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1843,5</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1968,8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2084,3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2228,2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2381,9</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5730,2</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6041,1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6476,9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6998,3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7525,8</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1293,4</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1335,2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1413,5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1490,9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1594,0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91,3</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65155,1</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69680,9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72514,2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76492,5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84201,3</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95,5</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28741,7</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30506,4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32247,2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34570,6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37104,4</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85,8</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3855,5</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4126,1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4423,9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4807,5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5204,7</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10177"/>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Объем продукции промышленности(14) (млн. сомов)</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175164,0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186143,8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191778,9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42350,7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78640,5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122564,1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201647,3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219786,7</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95,6</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4868,5</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4583,2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4899,6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940,9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2211,2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4218,1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5192,6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5545,9</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83,5</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17825,7</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19340,1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21058,2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5317,7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9153,2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11471,3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23034,7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25443,8</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115,4</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42708,8</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43667,7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41291,4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9072,8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11443,7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23738,1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40233,4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43411,8</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1748,2</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1870,7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1986,2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926,9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883,4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1252,7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2119,2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2267,9</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3786,5</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3995,9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4292,6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1832,3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2979,6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4633,7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4992,5</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962,4</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471,8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808,4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1228.6</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91,4</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68469,9</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74731,8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78151,2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14479,8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33801,3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47454,2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83362,3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91615,0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31461,2</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33359,8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35388,2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9035,1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16926,2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27872,0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37976,4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40976,8</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85,9</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3332,8</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3573,6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3850,2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1209,5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1917,3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2769,7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4192,2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4569,0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111,3</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10177"/>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Валовой выпуск сферы услуг (млн. сомов)</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372326,6</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399842,9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439595,7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483844,6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535910,6</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11525,7</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12298,8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13506,1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14787,2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16362,6</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35302,0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37488,3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41288,1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45201,5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50988,7</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20716,0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22234,1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24392,5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26447,8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28396,5</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9011,0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9727,6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10692,5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11695,4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12914,5</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26506,4</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27460,6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30098,6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32736,0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36781,3</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9654,9</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10392,5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11390,3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12398,9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13428,0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42043,8</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44994,0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49409,4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54518,1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60327,5</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190571,7</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206442,2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227487,8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251693,1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278646,8</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26995,0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28804,8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31330,4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34366,7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38064,6</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Валовой выпуск оптовой и розничной торговли; ремонт автомобилей и мотоциклов (млн. сомов)</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128089,2</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139735,6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156873,3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175858,0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198350,5</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2986,6</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3301,7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3709,8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4177,2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4710,8</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15679,7</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16942,7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19072,7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21409,9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24493,8</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5952,9</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6544,1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7346,0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8186,2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9006,4</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2727,3</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2998,1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3355,9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3752,8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4200,7</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11588,3</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12065,5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13480,2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15117,1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17178,3</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3258,2</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3571,4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3986,4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4470,6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4914,3</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17545,0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19304,4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21629,1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24333,9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27289,6</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57847,3</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63592,4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71575,8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80188,7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90486,5</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10503,9</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11415,2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12717,4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14221,7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16070,1</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r>
      <w:tr>
        <w:tc>
          <w:tcPr>
            <w:tcW w:type="dxa" w:w="10177"/>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Объем оказанных рыночных услуг (млн. сомов)</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568724,0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613688,8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680002,2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106300,4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245078,5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422935,4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752708,8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838651,5</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14609,2</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15755,7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17386,7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2852,3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6133,1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10656,9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19149,0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20927,2</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57 942,3</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61709,9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68033,6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7277,2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19459,5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36381,4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75504,1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83553,1</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111,9</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25 177,7</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27494,0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30601,5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3029,5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7528,4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20102,2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33930,4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36940,4</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8032,7</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8704,9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9596,7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1276,7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2571,0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4479,1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10630,4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11785,5</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34963,6</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36838,1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40224,4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8067,3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19104,1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28994,4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44220,0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48827,5</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13350,5</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14466,8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16117,2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1648,1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5118,0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9893,6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17768,4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19832,4</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66208,5</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71886,2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80010,9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15611,3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30705,4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52882,1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88460,8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98851,1</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304562,3</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329376,8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365710,7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55951,5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132510,5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224700,2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405035,6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453000,0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43877,2</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47456,5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52320,6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10586,5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21948,4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34845,3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58010,2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64934,3</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r>
      <w:tr>
        <w:tc>
          <w:tcPr>
            <w:tcW w:type="dxa" w:w="10177"/>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Оптовая и розничная торговля; ремонт автомобилей и мотоциклов (млн. сомов)</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428072,9</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464316,1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518805,4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76686,1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179526,5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315231,9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578850,5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649817,4</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12027,4</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13208,3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14770,9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2217,4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5182,0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9152,7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16537,7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18545,4</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49751,7</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53449,2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59942,1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5881,9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16812,0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32117,0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67033,6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76402,9</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112,5</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17515,4</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19126,6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21369,1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1939,5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5170,4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14375,8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23678,1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25901,9</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6387,0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6981,1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7784,8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889,5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1942,6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3658,3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8672,6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9671,0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30943,7</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31996,8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35579,4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6991,2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16089,2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25664,1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39674,2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44830,2</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11405,5</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12430,5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13822,2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1249,3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4168,6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8576,0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15442,7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16910,5</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56897,8</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62187,0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69346,9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13715,5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27251,5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46929,9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77578,2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86591,2</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207069,2</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225993,9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253010,3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35125,5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84473,8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145461,6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282220,0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317016,3</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36075,2</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38942,6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43179,6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8676,5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18436,6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29296,5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48013,6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53948,0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r>
      <w:tr>
        <w:tc>
          <w:tcPr>
            <w:tcW w:type="dxa" w:w="10177"/>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Валовая продукция строительства (млн. сомов)</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116117,2</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129037,3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147585,7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16851,4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42079,9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79552,1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171208,1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199704,8</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113,9</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112,7</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5015,7</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5259,2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5291,2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930,5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1728,3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5612,1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6037,6</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168,3</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12878,3</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14446,0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15197,3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825,2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2425,4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6633,9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18236,6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21899,5</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13637,6</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15184,9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19983,8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4317,2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7934,5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14601,7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25280,9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34358,8</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91,2</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131,3</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7712,7</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8655,4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9390,2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1149,2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1951,3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4102,4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10794,9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12141,4</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87,4</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4983,2</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5433,1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5966,8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1617,2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3327,6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6273,1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7734,8</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86,8</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119,1</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1463,8</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1516,7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1602,7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538,9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1266,3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1902,3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2284,3</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29320,8</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32682,1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36775,1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2339,2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6710,8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12882,1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41600,5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46746,7</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143,3</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37386,6</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42015,5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49339,1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6742,1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18391,0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32592,2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57248,2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63786,5</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3718,4</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3844,4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4039,5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1580,3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2417,6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4259,5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4715,2</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r>
      <w:tr>
        <w:tc>
          <w:tcPr>
            <w:tcW w:type="dxa" w:w="10177"/>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Объем инвестиций в основной капитал (млн. сомов)</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120878,9</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137018,1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156645,9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17793,3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43227,0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81827,3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181618,7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212367,6</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4880,3</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4678,2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6324,3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323,5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2054,3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7332,5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8573,9</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15140,0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17161,4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19619,8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2514,8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5122,9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22747,6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26598,8</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20902,5</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23693,2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27087,3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5313,0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10577,4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20773,2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31405,6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36722,7</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7668,0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8691,8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9936,9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1116,2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1645,0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3676,0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11521,1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13471,7</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3905,3</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4426,7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5060,8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456,4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1451,7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2828,9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5867,6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6861,0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1298,9</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1472,3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1683,2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346,1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528,9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1407,7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1951,6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2282,0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33556,1</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38036,3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43485,1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2411,5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6924,3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13193,4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50417,5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58953,5</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30699,5</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35652,1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39783,2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6528,2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17132,5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30426,9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46125,5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53934,7</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2828,5</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3206,1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3665,4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1350,7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2344,0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4249,7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4969,2</w:t>
            </w:r>
          </w:p>
        </w:tc>
      </w:tr>
      <w:tr>
        <w:tc>
          <w:tcPr>
            <w:tcW w:type="dxa" w:w="10177"/>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Численность занятых в экономике, тыс. человек</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2339,7</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2375,0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2410,2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2322,8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2395,2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2435,4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2444,5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2479,0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161,1</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170,7</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434,4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426,6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447,1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453,5</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80,8</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85,6</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538,3</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546,4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554,5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553,6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539,0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562,4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570,3</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117,6</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124,6</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338,4</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343,5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339,4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358,5</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411,1</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417,3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416,0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418,1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429,6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435,6</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Созданные рабочие места, тыс. чел.</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109676</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14306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20642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20419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11289,0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6436,0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6429,0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1577,7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1559,9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1988,8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6428,0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6429,0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28122,0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15232,0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15233,0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4257,1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4886,4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6695,8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15240,0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15232,0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5101,0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1916,0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1915,0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1421,4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594,8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1914,0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1915,0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5009,0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3120,0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3102,0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1227,3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912,7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499,7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3103,0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3102,0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11163,0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6662,0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6662,0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1358,2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2170,7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1977,9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6655,0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6675,0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1786,0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1819,0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1806,0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347,2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1805,0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1806,0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29117,0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18265,0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18265,0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2561,3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7081,3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5301,9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18265,0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18266,0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16987,0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15679,0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15705,0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2501,9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2235,1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2704,9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15706,0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15725,0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1102,0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871,0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883,0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884,0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850,0</w:t>
            </w:r>
          </w:p>
        </w:tc>
      </w:tr>
      <w:tr>
        <w:tc>
          <w:tcPr>
            <w:tcW w:type="dxa" w:w="10177"/>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Уровень общей безработицы, %</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r>
      <w:tr>
        <w:tc>
          <w:tcPr>
            <w:tcW w:type="dxa" w:w="10177"/>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Среднемесячная оплата труда, сомов</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13483,0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14350,0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15420,0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14040,5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14535,9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14829,3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16700,0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18320,0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9468,0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10105,8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10920,0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10409,1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10670,1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10684,1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11845,0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13006,4</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12035,0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12870,0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13837,2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13287,7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13289,8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13610,5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14920,0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16364,5</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17979,0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18170,0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18750,0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18430,0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18200,0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17850,0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19020,0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19570,0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97,6</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96,8</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12724,0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13520,0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14500,0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14104,4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14277,6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14347,3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15686,0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17105,0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8708,0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9188,0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9873,0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9765,0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9283,9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9502,4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10681,5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11763,9</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9882,0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10467,0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11264,5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10820,9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11035,0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11221,0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12243,0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13600,1</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11288,0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12024,2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12920,5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12680,1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12871,9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12900,0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13984,0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15276,1</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16526,0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17586,0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18875,0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18405,6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18665,9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18560,0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20462,5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22375,0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11894,0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13312,2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14270,0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13483,4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13552,8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14164,3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15617,7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17160,0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r>
      <w:tr>
        <w:tc>
          <w:tcPr>
            <w:tcW w:type="dxa" w:w="10177"/>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Прожиточный минимум, сомов</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5183,0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5240,0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5554,4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5052,3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5748,4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5350,6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5909,9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6282,2</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5137,8</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5199,4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5507,4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5003,9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5856,2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5138,5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5858,4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6277,7</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5282,0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5330,1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5580,4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5245,7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5856,2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5357,0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6022,8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6308,5</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4601,6</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4662,2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4980,4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4310,7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5105,4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4803,4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5246,9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5610,9</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5038,4</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5083,8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5387,4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4832,0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5886,5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5222,6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5745,0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6003,2</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область(15)</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5503,1</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5563,7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5885,0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5495,2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6013,5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5543,9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6274,9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6667,6</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4721,3</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4763,3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5064,3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4705,7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5513,1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4722,5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5383,5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5781,0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4857,2</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4915,6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5228,3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4882,3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5354,6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5078,5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5538,4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5902,0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5213,0</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5280,3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5624,0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5021,9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5782,2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5433,7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5944,0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6321,0</w:t>
            </w:r>
          </w:p>
        </w:tc>
      </w:tr>
      <w:tr>
        <w:tc>
          <w:tcPr>
            <w:tcW w:type="dxa" w:w="2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r>
    </w:tbl>
    <w:p>
      <w:pPr>
        <w:spacing w:after="60" w:before="120"/>
        <w:ind w:firstLine="567"/>
        <w:jc w:val="both"/>
      </w:pPr>
      <w:r>
        <w:rPr>
          <w:rFonts w:ascii="Arial" w:cs="Arial" w:eastAsia="Arial" w:hAnsi="Arial"/>
          <w:sz w:val="24"/>
          <w:szCs w:val="24"/>
        </w:rPr>
        <w:t xml:space="preserve">__________________</w:t>
      </w:r>
    </w:p>
    <w:p>
      <w:pPr>
        <w:spacing w:after="60" w:before="120"/>
        <w:ind w:firstLine="567"/>
        <w:jc w:val="both"/>
      </w:pPr>
      <w:r>
        <w:rPr>
          <w:rFonts w:ascii="Arial" w:cs="Arial" w:eastAsia="Arial" w:hAnsi="Arial"/>
          <w:sz w:val="24"/>
          <w:szCs w:val="24"/>
        </w:rPr>
        <w:t xml:space="preserve">Примечания:</w:t>
      </w:r>
    </w:p>
    <w:p>
      <w:pPr>
        <w:spacing w:after="60"/>
        <w:ind w:firstLine="567"/>
        <w:jc w:val="both"/>
      </w:pPr>
      <w:r>
        <w:rPr>
          <w:rFonts w:ascii="Arial" w:cs="Arial" w:eastAsia="Arial" w:hAnsi="Arial"/>
          <w:sz w:val="24"/>
          <w:szCs w:val="24"/>
        </w:rPr>
        <w:t xml:space="preserve">(1) Оценка Министерства экономики Кыргызской Республики.</w:t>
      </w:r>
    </w:p>
    <w:p>
      <w:pPr>
        <w:spacing w:after="60"/>
        <w:ind w:firstLine="567"/>
        <w:jc w:val="both"/>
      </w:pPr>
      <w:r>
        <w:rPr>
          <w:rFonts w:ascii="Arial" w:cs="Arial" w:eastAsia="Arial" w:hAnsi="Arial"/>
          <w:sz w:val="24"/>
          <w:szCs w:val="24"/>
        </w:rPr>
        <w:t xml:space="preserve">(2) По методике Международного валютного фонда.</w:t>
      </w:r>
    </w:p>
    <w:p>
      <w:pPr>
        <w:spacing w:after="60"/>
        <w:ind w:firstLine="567"/>
        <w:jc w:val="both"/>
      </w:pPr>
      <w:r>
        <w:rPr>
          <w:rFonts w:ascii="Arial" w:cs="Arial" w:eastAsia="Arial" w:hAnsi="Arial"/>
          <w:sz w:val="24"/>
          <w:szCs w:val="24"/>
        </w:rPr>
        <w:t xml:space="preserve">(3) Квартальные данные (I, II, III).</w:t>
      </w:r>
    </w:p>
    <w:p>
      <w:pPr>
        <w:spacing w:after="60"/>
        <w:ind w:firstLine="567"/>
        <w:jc w:val="both"/>
      </w:pPr>
      <w:r>
        <w:rPr>
          <w:rFonts w:ascii="Arial" w:cs="Arial" w:eastAsia="Arial" w:hAnsi="Arial"/>
          <w:sz w:val="24"/>
          <w:szCs w:val="24"/>
        </w:rPr>
        <w:t xml:space="preserve">(4) Квартальные данные (I, II, III).</w:t>
      </w:r>
    </w:p>
    <w:p>
      <w:pPr>
        <w:spacing w:after="60"/>
        <w:ind w:firstLine="567"/>
        <w:jc w:val="both"/>
      </w:pPr>
      <w:r>
        <w:rPr>
          <w:rFonts w:ascii="Arial" w:cs="Arial" w:eastAsia="Arial" w:hAnsi="Arial"/>
          <w:sz w:val="24"/>
          <w:szCs w:val="24"/>
        </w:rPr>
        <w:t xml:space="preserve">(5) Квартальные данные (I, II, III).</w:t>
      </w:r>
    </w:p>
    <w:p>
      <w:pPr>
        <w:spacing w:after="60"/>
        <w:ind w:firstLine="567"/>
        <w:jc w:val="both"/>
      </w:pPr>
      <w:r>
        <w:rPr>
          <w:rFonts w:ascii="Arial" w:cs="Arial" w:eastAsia="Arial" w:hAnsi="Arial"/>
          <w:sz w:val="24"/>
          <w:szCs w:val="24"/>
        </w:rPr>
        <w:t xml:space="preserve">(6) По данным Социального фонда Кыргызской Республики.</w:t>
      </w:r>
    </w:p>
    <w:p>
      <w:pPr>
        <w:spacing w:after="60"/>
        <w:ind w:firstLine="567"/>
        <w:jc w:val="both"/>
      </w:pPr>
      <w:r>
        <w:rPr>
          <w:rFonts w:ascii="Arial" w:cs="Arial" w:eastAsia="Arial" w:hAnsi="Arial"/>
          <w:sz w:val="24"/>
          <w:szCs w:val="24"/>
        </w:rPr>
        <w:t xml:space="preserve">(7) Квартальные данные (I, II, III).</w:t>
      </w:r>
    </w:p>
    <w:p>
      <w:pPr>
        <w:spacing w:after="60"/>
        <w:ind w:firstLine="567"/>
        <w:jc w:val="both"/>
      </w:pPr>
      <w:r>
        <w:rPr>
          <w:rFonts w:ascii="Arial" w:cs="Arial" w:eastAsia="Arial" w:hAnsi="Arial"/>
          <w:sz w:val="24"/>
          <w:szCs w:val="24"/>
        </w:rPr>
        <w:t xml:space="preserve">(8) Оценка Министерства экономики Кыргызской Республики.</w:t>
      </w:r>
    </w:p>
    <w:p>
      <w:pPr>
        <w:spacing w:after="60"/>
        <w:ind w:firstLine="567"/>
        <w:jc w:val="both"/>
      </w:pPr>
      <w:r>
        <w:rPr>
          <w:rFonts w:ascii="Arial" w:cs="Arial" w:eastAsia="Arial" w:hAnsi="Arial"/>
          <w:sz w:val="24"/>
          <w:szCs w:val="24"/>
        </w:rPr>
        <w:t xml:space="preserve">(9) С учетом стоимости переработки давальческого сырья, без учета покупной электроэнергии.</w:t>
      </w:r>
    </w:p>
    <w:p>
      <w:pPr>
        <w:spacing w:after="60"/>
        <w:ind w:firstLine="567"/>
        <w:jc w:val="both"/>
      </w:pPr>
      <w:r>
        <w:rPr>
          <w:rFonts w:ascii="Arial" w:cs="Arial" w:eastAsia="Arial" w:hAnsi="Arial"/>
          <w:sz w:val="24"/>
          <w:szCs w:val="24"/>
        </w:rPr>
        <w:t xml:space="preserve">(10) Без учета стоимости переработки давальческого сырья, но с учетом покупной электроэнергии.</w:t>
      </w:r>
    </w:p>
    <w:p>
      <w:pPr>
        <w:spacing w:after="60"/>
        <w:ind w:firstLine="567"/>
        <w:jc w:val="both"/>
      </w:pPr>
      <w:r>
        <w:rPr>
          <w:rFonts w:ascii="Arial" w:cs="Arial" w:eastAsia="Arial" w:hAnsi="Arial"/>
          <w:sz w:val="24"/>
          <w:szCs w:val="24"/>
        </w:rPr>
        <w:t xml:space="preserve">(11) С учетом вычета коммунальных услуг.</w:t>
      </w:r>
    </w:p>
    <w:p>
      <w:pPr>
        <w:spacing w:after="60"/>
        <w:ind w:firstLine="567"/>
        <w:jc w:val="both"/>
      </w:pPr>
      <w:r>
        <w:rPr>
          <w:rFonts w:ascii="Arial" w:cs="Arial" w:eastAsia="Arial" w:hAnsi="Arial"/>
          <w:sz w:val="24"/>
          <w:szCs w:val="24"/>
        </w:rPr>
        <w:t xml:space="preserve">(12) Информация о данном виде производства относится к ДСП и представляется в установленном порядке.</w:t>
      </w:r>
    </w:p>
    <w:p>
      <w:pPr>
        <w:spacing w:after="60"/>
        <w:ind w:firstLine="567"/>
        <w:jc w:val="both"/>
      </w:pPr>
      <w:r>
        <w:rPr>
          <w:rFonts w:ascii="Arial" w:cs="Arial" w:eastAsia="Arial" w:hAnsi="Arial"/>
          <w:sz w:val="24"/>
          <w:szCs w:val="24"/>
        </w:rPr>
        <w:t xml:space="preserve">(13) С учетом стоимости переработки давальческого сырья, без учета покупной электроэнергии.</w:t>
      </w:r>
    </w:p>
    <w:p>
      <w:pPr>
        <w:spacing w:after="60"/>
        <w:ind w:firstLine="567"/>
        <w:jc w:val="both"/>
      </w:pPr>
      <w:r>
        <w:rPr>
          <w:rFonts w:ascii="Arial" w:cs="Arial" w:eastAsia="Arial" w:hAnsi="Arial"/>
          <w:sz w:val="24"/>
          <w:szCs w:val="24"/>
        </w:rPr>
        <w:t xml:space="preserve">(14) Без учета стоимости переработки давальческого сырья, но с учетом покупной электроэнергии.</w:t>
      </w:r>
    </w:p>
    <w:p>
      <w:pPr>
        <w:spacing w:after="60"/>
        <w:ind w:firstLine="567"/>
        <w:jc w:val="both"/>
      </w:pPr>
      <w:r>
        <w:rPr>
          <w:rFonts w:ascii="Arial" w:cs="Arial" w:eastAsia="Arial" w:hAnsi="Arial"/>
          <w:sz w:val="24"/>
          <w:szCs w:val="24"/>
        </w:rPr>
        <w:t xml:space="preserve">(15) Вместе с городом Ош.</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fh3jl6mumsuytvyvz_j3">
      <w:r>
        <w:rPr>
          <w:rFonts w:ascii="Arial" w:cs="Arial" w:eastAsia="Arial" w:hAnsi="Arial"/>
          <w:color w:val="132D3F"/>
          <w:sz w:val="16"/>
          <w:szCs w:val="16"/>
          <w:u w:val="single"/>
        </w:rPr>
        <w:t xml:space="preserve">dalil.kg/document/98791</w:t>
      </w:r>
    </w:hyperlink>
  </w:p>
  <w:p>
    <w:pPr>
      <w:spacing w:after="0" w:before="40"/>
      <w:jc w:val="center"/>
    </w:pPr>
    <w:hyperlink w:history="1" r:id="rIduplbh2rn1x6psxksv1tw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ahoexo4rjkuyynjways7" Type="http://schemas.openxmlformats.org/officeDocument/2006/relationships/hyperlink" Target="https://dalil.kg/document/12308" TargetMode="External"/><Relationship Id="rIdqd3xm7yabhsc4jmvxe2ar" Type="http://schemas.openxmlformats.org/officeDocument/2006/relationships/hyperlink" Target="https://dalil.kg/document/203685" TargetMode="External"/><Relationship Id="rId9_2ereqtl12xwtv1d6cdh" Type="http://schemas.openxmlformats.org/officeDocument/2006/relationships/hyperlink" Target="https://dalil.kg/document/98791#p1" TargetMode="External"/><Relationship Id="rId2jzwarr_jf4esh7h0hpvh" Type="http://schemas.openxmlformats.org/officeDocument/2006/relationships/hyperlink" Target="https://dalil.kg/document/98309" TargetMode="External"/><Relationship Id="rId_mqpgsr4lgg8f2kebxezc" Type="http://schemas.openxmlformats.org/officeDocument/2006/relationships/hyperlink" Target="https://dalil.kg/document/98310" TargetMode="External"/><Relationship Id="rIdfs0kqjtg3hh9rogsxvxgs" Type="http://schemas.openxmlformats.org/officeDocument/2006/relationships/hyperlink" Target="https://dalil.kg/document/98309"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fh3jl6mumsuytvyvz_j3" Type="http://schemas.openxmlformats.org/officeDocument/2006/relationships/hyperlink" Target="https://dalil.kg/document/98791" TargetMode="External"/><Relationship Id="rIduplbh2rn1x6psxksv1tw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2026-09-30T14:31:08.241Z</dcterms:created>
  <dcterms:modified xsi:type="dcterms:W3CDTF">2026-09-30T14:31:08.241Z</dcterms:modified>
</cp:coreProperties>
</file>

<file path=docProps/custom.xml><?xml version="1.0" encoding="utf-8"?>
<Properties xmlns="http://schemas.openxmlformats.org/officeDocument/2006/custom-properties" xmlns:vt="http://schemas.openxmlformats.org/officeDocument/2006/docPropsVTypes"/>
</file>