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мая 2017 года № 308</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изменения в Закон Кыргызской Республики "О географических названиях в Кыргызской Республике"</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mtn8bokcw-tq0hogsi8k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yyxsarmlwnvxdkj_goptw">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географических названиях в Кыргызской Республике", инициированный депутатами Жогорку Кенеша Кыргызской Республики Бакировым М.И., Нурматовым К.С. и Токтошевым Э.Т.</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25 мая 2017 года № 308</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изменения в Закон Кыргызской Республики "О географических названиях в Кыргызской Республике"</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1axrzwmgyejbdecxhjse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географических названиях в Кыргызской Республике" (далее - проект Закона), инициированный депутатами Жогорку Кенеша Кыргызской Республики Бакировым М.И., Нурматовым К.С. и Токтошевым Э.Т., приходит к следующему заключению.</w:t>
      </w:r>
    </w:p>
    <w:p>
      <w:pPr>
        <w:spacing w:after="60"/>
        <w:ind w:firstLine="567"/>
        <w:jc w:val="both"/>
      </w:pPr>
      <w:r>
        <w:rPr>
          <w:rFonts w:ascii="Arial" w:cs="Arial" w:eastAsia="Arial" w:hAnsi="Arial"/>
          <w:sz w:val="24"/>
          <w:szCs w:val="24"/>
        </w:rPr>
        <w:t xml:space="preserve">Статьей 1 проекта Закона предлагается предусмотреть возможность наименования и переименования административно-территориальных единиц, органов местного самоуправления, областей, районов, городов, сел именами людей в случаях, если:</w:t>
      </w:r>
    </w:p>
    <w:p>
      <w:pPr>
        <w:spacing w:after="60"/>
        <w:ind w:firstLine="567"/>
        <w:jc w:val="both"/>
      </w:pPr>
      <w:r>
        <w:rPr>
          <w:rFonts w:ascii="Arial" w:cs="Arial" w:eastAsia="Arial" w:hAnsi="Arial"/>
          <w:sz w:val="24"/>
          <w:szCs w:val="24"/>
        </w:rPr>
        <w:t xml:space="preserve">- лица, непосредственно принимали участие в открытии, изучении, освоении или основании географических объектов;</w:t>
      </w:r>
    </w:p>
    <w:p>
      <w:pPr>
        <w:spacing w:after="60"/>
        <w:ind w:firstLine="567"/>
        <w:jc w:val="both"/>
      </w:pPr>
      <w:r>
        <w:rPr>
          <w:rFonts w:ascii="Arial" w:cs="Arial" w:eastAsia="Arial" w:hAnsi="Arial"/>
          <w:sz w:val="24"/>
          <w:szCs w:val="24"/>
        </w:rPr>
        <w:t xml:space="preserve">- выдающиеся государственные и общественные деятели, представители науки, культуры, имеющие заслуги перед государством.</w:t>
      </w:r>
    </w:p>
    <w:p>
      <w:pPr>
        <w:spacing w:after="60"/>
        <w:ind w:firstLine="567"/>
        <w:jc w:val="both"/>
      </w:pPr>
      <w:r>
        <w:rPr>
          <w:rFonts w:ascii="Arial" w:cs="Arial" w:eastAsia="Arial" w:hAnsi="Arial"/>
          <w:sz w:val="24"/>
          <w:szCs w:val="24"/>
        </w:rPr>
        <w:t xml:space="preserve">Также допускается переименование географических объектов в целях возвращения отдельным географическим объектам наименований, широко известных в прошлом и настоящем.</w:t>
      </w:r>
    </w:p>
    <w:p>
      <w:pPr>
        <w:spacing w:after="60"/>
        <w:ind w:firstLine="567"/>
        <w:jc w:val="both"/>
      </w:pPr>
      <w:r>
        <w:rPr>
          <w:rFonts w:ascii="Arial" w:cs="Arial" w:eastAsia="Arial" w:hAnsi="Arial"/>
          <w:sz w:val="24"/>
          <w:szCs w:val="24"/>
        </w:rPr>
        <w:t xml:space="preserve">Под "лицами", непосредственно принимавшими участие в открытии, изучении, освоении или основании географических объектов Кыргызстана понимается широкий круг лиц. Необходимо принимать во внимание, что в изучении географических объектов Кыргызстана принимали участие путешественники и ученые более 40 стран Старого и Нового Света. Особая активность в открытии, изучении и освоении географических объектов Кыргызстана приходится на вторую половину XIX века, и самое активное участие принимала Царская Россия.</w:t>
      </w:r>
    </w:p>
    <w:p>
      <w:pPr>
        <w:spacing w:after="60"/>
        <w:ind w:firstLine="567"/>
        <w:jc w:val="both"/>
      </w:pPr>
      <w:r>
        <w:rPr>
          <w:rFonts w:ascii="Arial" w:cs="Arial" w:eastAsia="Arial" w:hAnsi="Arial"/>
          <w:sz w:val="24"/>
          <w:szCs w:val="24"/>
        </w:rPr>
        <w:t xml:space="preserve">Также, к этой категории лиц можно отнести ученых, путешественников, основателей населенных пунктов на территории Кыргызской Республики разных времен, первых руководителей коллективных хозяйств, бизнесменов и предпринимателей, которые стояли у истоков освоения того или иного географического объекта, оказывали моральную и материальную, в том числе финансовую поддержку и т.д.</w:t>
      </w:r>
    </w:p>
    <w:p>
      <w:pPr>
        <w:spacing w:after="60"/>
        <w:ind w:firstLine="567"/>
        <w:jc w:val="both"/>
      </w:pPr>
      <w:r>
        <w:rPr>
          <w:rFonts w:ascii="Arial" w:cs="Arial" w:eastAsia="Arial" w:hAnsi="Arial"/>
          <w:sz w:val="24"/>
          <w:szCs w:val="24"/>
        </w:rPr>
        <w:t xml:space="preserve">Вместе с тем, положения абзацев второго и третьего статьи 6 в предлагаемой редакции носят обобщенный и оценочный характер, что соответственно предоставляет соответствующим субъектам дискреционные полномочия по своему усмотрению толковать тот или иной случай.</w:t>
      </w:r>
    </w:p>
    <w:p>
      <w:pPr>
        <w:spacing w:after="60"/>
        <w:ind w:firstLine="567"/>
        <w:jc w:val="both"/>
      </w:pPr>
      <w:r>
        <w:rPr>
          <w:rFonts w:ascii="Arial" w:cs="Arial" w:eastAsia="Arial" w:hAnsi="Arial"/>
          <w:sz w:val="24"/>
          <w:szCs w:val="24"/>
        </w:rPr>
        <w:t xml:space="preserve">Полагаем необходимым предусмотреть механизмы, критерии определения особых заслуг перед государством, поскольку в ином случае реализация Закона приведет к практике по неоднократному переименованию административно-территориальных единиц.</w:t>
      </w:r>
    </w:p>
    <w:p>
      <w:pPr>
        <w:spacing w:after="60"/>
        <w:ind w:firstLine="567"/>
        <w:jc w:val="both"/>
      </w:pPr>
      <w:r>
        <w:rPr>
          <w:rFonts w:ascii="Arial" w:cs="Arial" w:eastAsia="Arial" w:hAnsi="Arial"/>
          <w:sz w:val="24"/>
          <w:szCs w:val="24"/>
        </w:rPr>
        <w:t xml:space="preserve">Предлагаемое изменение может стать основой для инициирования местными сообществами, органами местного самоуправления, местными государственными администрациями, а также территориальными подразделениями государственных органов переименования административно-территориальных единиц, органов местного самоуправления, населенных пунктов, лоббирования своих интересов, что может привести к утрате исторических названий административно-территориальных единиц и населенных пунктов.</w:t>
      </w:r>
    </w:p>
    <w:p>
      <w:pPr>
        <w:spacing w:after="60"/>
        <w:ind w:firstLine="567"/>
        <w:jc w:val="both"/>
      </w:pPr>
      <w:r>
        <w:rPr>
          <w:rFonts w:ascii="Arial" w:cs="Arial" w:eastAsia="Arial" w:hAnsi="Arial"/>
          <w:sz w:val="24"/>
          <w:szCs w:val="24"/>
        </w:rPr>
        <w:t xml:space="preserve">При этом из справки-обоснования следует, что для реализации вышеуказанного проекта Закона не потребуется финансовых средств из республиканского бюджета, так как в соответствии со </w:t>
      </w:r>
      <w:r>
        <w:rPr>
          <w:rFonts w:ascii="Arial" w:cs="Arial" w:eastAsia="Arial" w:hAnsi="Arial"/>
          <w:sz w:val="24"/>
          <w:szCs w:val="24"/>
        </w:rPr>
        <w:t xml:space="preserve">статьей 12</w:t>
      </w:r>
      <w:r>
        <w:rPr>
          <w:rFonts w:ascii="Arial" w:cs="Arial" w:eastAsia="Arial" w:hAnsi="Arial"/>
          <w:sz w:val="24"/>
          <w:szCs w:val="24"/>
        </w:rPr>
        <w:t xml:space="preserve"> Закона Кыргызской Республики "О географических названиях в Кыргызской Республике" все расходы, связанные с наименованием и переименованием географических объектов Кыргызской Республики, производятся за счет бюджета органа местного самоуправления, на территории которого находятся эти объекты.</w:t>
      </w:r>
    </w:p>
    <w:p>
      <w:pPr>
        <w:spacing w:after="60"/>
        <w:ind w:firstLine="567"/>
        <w:jc w:val="both"/>
      </w:pPr>
      <w:r>
        <w:rPr>
          <w:rFonts w:ascii="Arial" w:cs="Arial" w:eastAsia="Arial" w:hAnsi="Arial"/>
          <w:sz w:val="24"/>
          <w:szCs w:val="24"/>
        </w:rPr>
        <w:t xml:space="preserve">Вместе с тем, </w:t>
      </w:r>
      <w:r>
        <w:rPr>
          <w:rFonts w:ascii="Arial" w:cs="Arial" w:eastAsia="Arial" w:hAnsi="Arial"/>
          <w:sz w:val="24"/>
          <w:szCs w:val="24"/>
        </w:rPr>
        <w:t xml:space="preserve">статья 12</w:t>
      </w:r>
      <w:r>
        <w:rPr>
          <w:rFonts w:ascii="Arial" w:cs="Arial" w:eastAsia="Arial" w:hAnsi="Arial"/>
          <w:sz w:val="24"/>
          <w:szCs w:val="24"/>
        </w:rPr>
        <w:t xml:space="preserve"> вышеназванного Закона указывает на дополнительную нагрузку на местный бюджет в случаях, предлагаемых проектом Закона. При этом возможен риск в связи с обращением дотационных органов местного самоуправления по вопросу дополнительного финансирования из государственного бюджета.</w:t>
      </w:r>
    </w:p>
    <w:p>
      <w:pPr>
        <w:spacing w:after="60"/>
        <w:ind w:firstLine="567"/>
        <w:jc w:val="both"/>
      </w:pPr>
      <w:r>
        <w:rPr>
          <w:rFonts w:ascii="Arial" w:cs="Arial" w:eastAsia="Arial" w:hAnsi="Arial"/>
          <w:sz w:val="24"/>
          <w:szCs w:val="24"/>
        </w:rPr>
        <w:t xml:space="preserve">Согласно части 1 </w:t>
      </w:r>
      <w:r>
        <w:rPr>
          <w:rFonts w:ascii="Arial" w:cs="Arial" w:eastAsia="Arial" w:hAnsi="Arial"/>
          <w:sz w:val="24"/>
          <w:szCs w:val="24"/>
        </w:rPr>
        <w:t xml:space="preserve">статьи 14</w:t>
      </w:r>
      <w:r>
        <w:rPr>
          <w:rFonts w:ascii="Arial" w:cs="Arial" w:eastAsia="Arial" w:hAnsi="Arial"/>
          <w:sz w:val="24"/>
          <w:szCs w:val="24"/>
        </w:rPr>
        <w:t xml:space="preserve"> Бюджетного кодекса Кыргызской Республики, республиканский и местные бюджеты образуют государственный бюджет Кыргызской Республики.</w:t>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25</w:t>
      </w:r>
      <w:r>
        <w:rPr>
          <w:rFonts w:ascii="Arial" w:cs="Arial" w:eastAsia="Arial" w:hAnsi="Arial"/>
          <w:sz w:val="24"/>
          <w:szCs w:val="24"/>
        </w:rPr>
        <w:t xml:space="preserve"> и </w:t>
      </w:r>
      <w:r>
        <w:rPr>
          <w:rFonts w:ascii="Arial" w:cs="Arial" w:eastAsia="Arial" w:hAnsi="Arial"/>
          <w:sz w:val="24"/>
          <w:szCs w:val="24"/>
        </w:rPr>
        <w:t xml:space="preserve">26</w:t>
      </w:r>
      <w:r>
        <w:rPr>
          <w:rFonts w:ascii="Arial" w:cs="Arial" w:eastAsia="Arial" w:hAnsi="Arial"/>
          <w:sz w:val="24"/>
          <w:szCs w:val="24"/>
        </w:rPr>
        <w:t xml:space="preserve"> </w:t>
      </w:r>
      <w:hyperlink w:history="1" r:id="rId7tb1uowxodza525bgbql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справка-обоснование должна содержать сведения о наличии источников финансирования. При этом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Также следует учитывать нормы части 3 статьи 80 Конституции Кыргызской Республики, согласно которой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60"/>
        <w:ind w:firstLine="567"/>
        <w:jc w:val="both"/>
      </w:pPr>
      <w:r>
        <w:rPr>
          <w:rFonts w:ascii="Arial" w:cs="Arial" w:eastAsia="Arial" w:hAnsi="Arial"/>
          <w:sz w:val="24"/>
          <w:szCs w:val="24"/>
        </w:rPr>
        <w:t xml:space="preserve">В связи с этим отмечаем, что в справке-обосновании к законопроекту отсутствуют финансово-экономические сведения о наличии источников финансирования.</w:t>
      </w:r>
    </w:p>
    <w:p>
      <w:pPr>
        <w:spacing w:after="60"/>
        <w:ind w:firstLine="567"/>
        <w:jc w:val="both"/>
      </w:pPr>
      <w:r>
        <w:rPr>
          <w:rFonts w:ascii="Arial" w:cs="Arial" w:eastAsia="Arial" w:hAnsi="Arial"/>
          <w:sz w:val="24"/>
          <w:szCs w:val="24"/>
        </w:rPr>
        <w:t xml:space="preserve">На основании вышеизложенного, а также в связи с ограниченностью бюджетных ресурсов, наличием значительного дефицита бюджета и выпадением доходов, отсутствием обоснованности и целесообразности, Правительство Кыргызской Республики считает нецелесообразным принятие проекта Закона Кыргызской Республики "О внесении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географических названиях в Кыргызской Республике".</w:t>
      </w:r>
    </w:p>
    <w:p>
      <w:pPr>
        <w:spacing w:after="60"/>
        <w:ind w:firstLine="567"/>
        <w:jc w:val="both"/>
      </w:pPr>
      <w:r>
        <w:rPr>
          <w:rFonts w:ascii="Arial" w:cs="Arial" w:eastAsia="Arial" w:hAnsi="Arial"/>
          <w:sz w:val="24"/>
          <w:szCs w:val="24"/>
        </w:rPr>
        <w:t xml:space="preserve">Одновременно обращаем внимание, что ранее,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16 декабря 2016 года № 686 одобрено </w:t>
      </w: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географических названиях в Кыргызской Республике", инициированный депутатами Жогорку Кенеша Кыргызской Республики Мавляновой М.Э., Алтынбековым А. и Жеенчороевым Э.К., который в том числе, предусматривал аналогичные поправки в вышеуказанный Закон.</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tx3u1gaqpeqxiqnqortq">
      <w:r>
        <w:rPr>
          <w:rFonts w:ascii="Arial" w:cs="Arial" w:eastAsia="Arial" w:hAnsi="Arial"/>
          <w:color w:val="132D3F"/>
          <w:sz w:val="16"/>
          <w:szCs w:val="16"/>
          <w:u w:val="single"/>
        </w:rPr>
        <w:t xml:space="preserve">dalil.kg/document/98814</w:t>
      </w:r>
    </w:hyperlink>
  </w:p>
  <w:p>
    <w:pPr>
      <w:spacing w:after="0" w:before="40"/>
      <w:jc w:val="center"/>
    </w:pPr>
    <w:hyperlink w:history="1" r:id="rIdet7zfojo_oheasdstrob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tn8bokcw-tq0hogsi8kz" Type="http://schemas.openxmlformats.org/officeDocument/2006/relationships/hyperlink" Target="https://dalil.kg/document/203685" TargetMode="External"/><Relationship Id="rIdyyxsarmlwnvxdkj_goptw" Type="http://schemas.openxmlformats.org/officeDocument/2006/relationships/hyperlink" Target="https://dalil.kg/document/98814#p1" TargetMode="External"/><Relationship Id="rId1axrzwmgyejbdecxhjse0" Type="http://schemas.openxmlformats.org/officeDocument/2006/relationships/hyperlink" Target="https://dalil.kg/document/203685" TargetMode="External"/><Relationship Id="rId7tb1uowxodza525bgbql0"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tx3u1gaqpeqxiqnqortq" Type="http://schemas.openxmlformats.org/officeDocument/2006/relationships/hyperlink" Target="https://dalil.kg/document/98814" TargetMode="External"/><Relationship Id="rIdet7zfojo_oheasdstrob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2026-10-03T20:18:59.795Z</dcterms:created>
  <dcterms:modified xsi:type="dcterms:W3CDTF">2026-10-03T20:18:59.795Z</dcterms:modified>
</cp:coreProperties>
</file>

<file path=docProps/custom.xml><?xml version="1.0" encoding="utf-8"?>
<Properties xmlns="http://schemas.openxmlformats.org/officeDocument/2006/custom-properties" xmlns:vt="http://schemas.openxmlformats.org/officeDocument/2006/docPropsVTypes"/>
</file>