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12 сентября 2017 года № 553</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изменений в Налоговый кодекс Кыргызской Республики"</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конституционного </w:t>
      </w:r>
      <w:hyperlink w:history="1" r:id="rIdspxrp0b2kvdhnnqtzz6c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cwy_8hhe-g7_xnmdkgxgj">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Налоговый </w:t>
      </w:r>
      <w:hyperlink w:history="1" r:id="rIdcbyrglguhgywwukf66gd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инициированный депутатами Жогорку Кенеша Кыргызской Республики Бекешевым Д.Д., Бабановым О.Т., Макеевым Н.К., Жеенчороевым М.К.</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С.Исаков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Налоговый кодекс Кыргызской Республики"</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конституционного </w:t>
      </w:r>
      <w:hyperlink w:history="1" r:id="rIdzvwoxzklgbb3ye8l0mgo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внесении изменений в Налоговый</w:t>
      </w:r>
      <w:hyperlink w:history="1" r:id="rIdqqk9nb7h-xxu8sacnfqcu">
        <w:r>
          <w:rPr>
            <w:rFonts w:ascii="Arial" w:cs="Arial" w:eastAsia="Arial" w:hAnsi="Arial"/>
            <w:color w:val="1D4ED8"/>
            <w:sz w:val="24"/>
            <w:szCs w:val="24"/>
            <w:u w:val="single"/>
          </w:rPr>
          <w:t xml:space="preserve"> кодекс</w:t>
        </w:r>
      </w:hyperlink>
      <w:r>
        <w:rPr>
          <w:rFonts w:ascii="Arial" w:cs="Arial" w:eastAsia="Arial" w:hAnsi="Arial"/>
          <w:sz w:val="24"/>
          <w:szCs w:val="24"/>
        </w:rPr>
        <w:t xml:space="preserve"> Кыргызской Республики" (далее - проект Закона), инициированный депутатами Жогорку Кенеша Кыргызской Республики Бекешевым Д.Д., Бабановым О.Т., Макеевым Н.К., Жеенчороевым М.К., приходит к следующему заключению.</w:t>
      </w:r>
    </w:p>
    <w:p>
      <w:pPr>
        <w:spacing w:after="60"/>
        <w:ind w:firstLine="567"/>
        <w:jc w:val="both"/>
      </w:pPr>
      <w:r>
        <w:rPr>
          <w:rFonts w:ascii="Arial" w:cs="Arial" w:eastAsia="Arial" w:hAnsi="Arial"/>
          <w:sz w:val="24"/>
          <w:szCs w:val="24"/>
        </w:rPr>
        <w:t xml:space="preserve">Данный проект Закона предусматривает отмену налога на имущество по IV группе и включение этого налога в акцизный налог.</w:t>
      </w:r>
    </w:p>
    <w:p>
      <w:pPr>
        <w:spacing w:after="60"/>
        <w:ind w:firstLine="567"/>
        <w:jc w:val="both"/>
      </w:pPr>
      <w:r>
        <w:rPr>
          <w:rFonts w:ascii="Arial" w:cs="Arial" w:eastAsia="Arial" w:hAnsi="Arial"/>
          <w:sz w:val="24"/>
          <w:szCs w:val="24"/>
        </w:rPr>
        <w:t xml:space="preserve">В случае реализации данной инициативы все граждане будут платить акцизный налог одинаково вне зависимости от стоимости автомобиля. Более того, даже те, кто не владеет и никогда не владел автомобилем, будут платить новый налог при покупке любого товара или услуги, поскольку акциз, как косвенный налог, закладывается в стоимость любого товара и услуги через транспортные расходы.</w:t>
      </w:r>
    </w:p>
    <w:p>
      <w:pPr>
        <w:spacing w:after="60"/>
        <w:ind w:firstLine="567"/>
        <w:jc w:val="both"/>
      </w:pPr>
      <w:r>
        <w:rPr>
          <w:rFonts w:ascii="Arial" w:cs="Arial" w:eastAsia="Arial" w:hAnsi="Arial"/>
          <w:sz w:val="24"/>
          <w:szCs w:val="24"/>
        </w:rPr>
        <w:t xml:space="preserve">Таким образом, нарушается принцип справедливости налогообложения, являющийся одним из основополагающих принципов налогового законодательства Кыргызской Республики. Согласно части 3 </w:t>
      </w:r>
      <w:r>
        <w:rPr>
          <w:rFonts w:ascii="Arial" w:cs="Arial" w:eastAsia="Arial" w:hAnsi="Arial"/>
          <w:sz w:val="24"/>
          <w:szCs w:val="24"/>
        </w:rPr>
        <w:t xml:space="preserve">статьи 5</w:t>
      </w:r>
      <w:r>
        <w:rPr>
          <w:rFonts w:ascii="Arial" w:cs="Arial" w:eastAsia="Arial" w:hAnsi="Arial"/>
          <w:sz w:val="24"/>
          <w:szCs w:val="24"/>
        </w:rPr>
        <w:t xml:space="preserve"> Налогового </w:t>
      </w:r>
      <w:hyperlink w:history="1" r:id="rIdtplzkzlr9uls7f9o4arr7">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(далее - Налоговый кодекс) нормы налогового законодательства не могут противоречить установленным в Кодексе принципам.</w:t>
      </w:r>
    </w:p>
    <w:p>
      <w:pPr>
        <w:spacing w:after="60"/>
        <w:ind w:firstLine="567"/>
        <w:jc w:val="both"/>
      </w:pPr>
      <w:r>
        <w:rPr>
          <w:rFonts w:ascii="Arial" w:cs="Arial" w:eastAsia="Arial" w:hAnsi="Arial"/>
          <w:sz w:val="24"/>
          <w:szCs w:val="24"/>
        </w:rPr>
        <w:t xml:space="preserve">Кроме того, повышение акцизного налога на топливо приведет к росту цен не только на горюче-смазочные материалы (далее - ГСМ), но и на все другие товары и услуги, в которых заложена транспортная составляющая. Как известно, рост цен на ГСМ обязательно ведет к росту инфляции и повышению общего уровня цен.</w:t>
      </w:r>
    </w:p>
    <w:p>
      <w:pPr>
        <w:spacing w:after="60"/>
        <w:ind w:firstLine="567"/>
        <w:jc w:val="both"/>
      </w:pPr>
      <w:r>
        <w:rPr>
          <w:rFonts w:ascii="Arial" w:cs="Arial" w:eastAsia="Arial" w:hAnsi="Arial"/>
          <w:sz w:val="24"/>
          <w:szCs w:val="24"/>
        </w:rPr>
        <w:t xml:space="preserve">Также, согласно бюджетному законодательству, налог на имущество является закрепленным источником доходов местных бюджетов, полномочия по администрированию которого, за исключением функций государственной регистрации, согласно налоговому законодательству делегированы органам местного самоуправления. В этой связи суммы доходов налога на имущество (I-IV групп) формируются органами местного самоуправления (далее - МСУ) и утверждаются местными кенешами в составе местных бюджетов.</w:t>
      </w:r>
    </w:p>
    <w:p>
      <w:pPr>
        <w:spacing w:after="60"/>
        <w:ind w:firstLine="567"/>
        <w:jc w:val="both"/>
      </w:pPr>
      <w:r>
        <w:rPr>
          <w:rFonts w:ascii="Arial" w:cs="Arial" w:eastAsia="Arial" w:hAnsi="Arial"/>
          <w:sz w:val="24"/>
          <w:szCs w:val="24"/>
        </w:rPr>
        <w:t xml:space="preserve">Следует отметить, что регулируемая Налоговым кодексом система администрирования налога на транспортные средства с вовлечением в процесс органов МСУ и уполномоченных государственных органов в целях обеспечения полноты сбора минимизирует коррупционные риски и соответствует методу зеркальной сверки фактически уплаченной суммы налога с оценочным показателем, базирующимся на статистической регистрационной информации официального уполномоченного государственного органа, а также стимулирует органы МСУ на ведение мониторинга и улучшение администрирования в целях увеличения доходного потенциала местных бюджетов.</w:t>
      </w:r>
    </w:p>
    <w:p>
      <w:pPr>
        <w:spacing w:after="60"/>
        <w:ind w:firstLine="567"/>
        <w:jc w:val="both"/>
      </w:pPr>
      <w:r>
        <w:rPr>
          <w:rFonts w:ascii="Arial" w:cs="Arial" w:eastAsia="Arial" w:hAnsi="Arial"/>
          <w:sz w:val="24"/>
          <w:szCs w:val="24"/>
        </w:rPr>
        <w:t xml:space="preserve">Так, согласно анализу, фактическое поступление налога на транспортные средства в 2014 году составило 670,6 млн. сомов, 2015 году - 689,2 млн. сомов, 2016 году - 796,5 млн. сомов, при этом из них порядка 30% поступлений являются доходом местного бюджета города Бишкек.</w:t>
      </w:r>
    </w:p>
    <w:p>
      <w:pPr>
        <w:spacing w:after="60"/>
        <w:ind w:firstLine="567"/>
        <w:jc w:val="both"/>
      </w:pPr>
      <w:r>
        <w:rPr>
          <w:rFonts w:ascii="Arial" w:cs="Arial" w:eastAsia="Arial" w:hAnsi="Arial"/>
          <w:sz w:val="24"/>
          <w:szCs w:val="24"/>
        </w:rPr>
        <w:t xml:space="preserve">Согласно бюджетному законодательству акцизный налог на импорт ГСМ является одним из основных закрепленных источников доходов республиканского бюджета, прогнозные суммы которого утверждаются законом о республиканском бюджете. При этом основной объем импортного ГСМ ввозится из стран - членов Евразийского экономического союза (далее - ЕАЭС), администрирование поступлений акциза по которым является полномочием налоговых органов. Также налоговая служба никак не влияет на объемы импорта ГСМ и, соответственно, не может гарантировать поступление запланированных сумм налога. Согласно анализу исполнения доходной части государственного бюджета за 2016 год, в связи со снижением объемов импорта недобор по поступлениям от акцизного налога на товары, ввозимые из стран - членов ЕАЭС, составил более 71 млн. сомов.</w:t>
      </w:r>
    </w:p>
    <w:p>
      <w:pPr>
        <w:spacing w:after="60"/>
        <w:ind w:firstLine="567"/>
        <w:jc w:val="both"/>
      </w:pPr>
      <w:r>
        <w:rPr>
          <w:rFonts w:ascii="Arial" w:cs="Arial" w:eastAsia="Arial" w:hAnsi="Arial"/>
          <w:sz w:val="24"/>
          <w:szCs w:val="24"/>
        </w:rPr>
        <w:t xml:space="preserve">В то же время план на 2016 год по налогу на движимое имущество, выполнен на 113,3%, или сверх плана поступило 93,6 млн. сомов. При этом рост поступлений относительно 2015 года составил более чем 15%, или в номинале 107,3 млн. сомов.</w:t>
      </w:r>
    </w:p>
    <w:p>
      <w:pPr>
        <w:spacing w:after="60"/>
        <w:ind w:firstLine="567"/>
        <w:jc w:val="both"/>
      </w:pPr>
      <w:r>
        <w:rPr>
          <w:rFonts w:ascii="Arial" w:cs="Arial" w:eastAsia="Arial" w:hAnsi="Arial"/>
          <w:sz w:val="24"/>
          <w:szCs w:val="24"/>
        </w:rPr>
        <w:t xml:space="preserve">Согласно </w:t>
      </w:r>
      <w:r>
        <w:rPr>
          <w:rFonts w:ascii="Arial" w:cs="Arial" w:eastAsia="Arial" w:hAnsi="Arial"/>
          <w:sz w:val="24"/>
          <w:szCs w:val="24"/>
        </w:rPr>
        <w:t xml:space="preserve">статье 46</w:t>
      </w:r>
      <w:r>
        <w:rPr>
          <w:rFonts w:ascii="Arial" w:cs="Arial" w:eastAsia="Arial" w:hAnsi="Arial"/>
          <w:sz w:val="24"/>
          <w:szCs w:val="24"/>
        </w:rPr>
        <w:t xml:space="preserve"> Бюджетного кодекса Кыргызской Республики расщеплению между бюджетами подлежат только общегосударственные доходы, согласно </w:t>
      </w:r>
      <w:r>
        <w:rPr>
          <w:rFonts w:ascii="Arial" w:cs="Arial" w:eastAsia="Arial" w:hAnsi="Arial"/>
          <w:sz w:val="24"/>
          <w:szCs w:val="24"/>
        </w:rPr>
        <w:t xml:space="preserve">статье 44</w:t>
      </w:r>
      <w:r>
        <w:rPr>
          <w:rFonts w:ascii="Arial" w:cs="Arial" w:eastAsia="Arial" w:hAnsi="Arial"/>
          <w:sz w:val="24"/>
          <w:szCs w:val="24"/>
        </w:rPr>
        <w:t xml:space="preserve"> Бюджетного кодекса Кыргызской Республики передача отдельных видов доходов, предусмотренных в соответствующих бюджетах в другой бюджет, запрещена и осуществляется только при внесении изменений и дополнений в Бюджетный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распределение которых между республиканским и местными бюджетами основано на четком разграничении функций и полномочий между государственными органами и органами местного самоуправления.</w:t>
      </w:r>
    </w:p>
    <w:p>
      <w:pPr>
        <w:spacing w:after="60"/>
        <w:ind w:firstLine="567"/>
        <w:jc w:val="both"/>
      </w:pPr>
      <w:r>
        <w:rPr>
          <w:rFonts w:ascii="Arial" w:cs="Arial" w:eastAsia="Arial" w:hAnsi="Arial"/>
          <w:sz w:val="24"/>
          <w:szCs w:val="24"/>
        </w:rPr>
        <w:t xml:space="preserve">Одним из основных принципов межбюджетных отношений, предусмотренных статьей 45 Бюджетного кодекса Кыргызской Республики, является закрепление за каждым бюджетом бюджетной системы собственных источников доходов и определение нормативов распределения доходов между бюджетами на долговременной основе.</w:t>
      </w:r>
    </w:p>
    <w:p>
      <w:pPr>
        <w:spacing w:after="60"/>
        <w:ind w:firstLine="567"/>
        <w:jc w:val="both"/>
      </w:pPr>
      <w:r>
        <w:rPr>
          <w:rFonts w:ascii="Arial" w:cs="Arial" w:eastAsia="Arial" w:hAnsi="Arial"/>
          <w:sz w:val="24"/>
          <w:szCs w:val="24"/>
        </w:rPr>
        <w:t xml:space="preserve">В этой связи, в случае принятия данного законопроекта:</w:t>
      </w:r>
    </w:p>
    <w:p>
      <w:pPr>
        <w:spacing w:after="60"/>
        <w:ind w:firstLine="567"/>
        <w:jc w:val="both"/>
      </w:pPr>
      <w:r>
        <w:rPr>
          <w:rFonts w:ascii="Arial" w:cs="Arial" w:eastAsia="Arial" w:hAnsi="Arial"/>
          <w:sz w:val="24"/>
          <w:szCs w:val="24"/>
        </w:rPr>
        <w:t xml:space="preserve">- возникнет необходимость увеличения сумм выравнивающих грантов из республиканского бюджета в местные бюджеты, при этом, с учетом ограниченности ресурсов бюджета, возникнет риск невыполнения социальных, культурных и других программ, связанные с деятельностью местных органов;</w:t>
      </w:r>
    </w:p>
    <w:p>
      <w:pPr>
        <w:spacing w:after="60"/>
        <w:ind w:firstLine="567"/>
        <w:jc w:val="both"/>
      </w:pPr>
      <w:r>
        <w:rPr>
          <w:rFonts w:ascii="Arial" w:cs="Arial" w:eastAsia="Arial" w:hAnsi="Arial"/>
          <w:sz w:val="24"/>
          <w:szCs w:val="24"/>
        </w:rPr>
        <w:t xml:space="preserve">- приведет к утрате процесса формирования и развития налоговой культуры населения по уплате налогов. На сегодняшний день сложилась положительная тенденция осознания населением необходимости уплаты налога на имущество. В случае отмены появится прецедент лоббирования отмены налога на недвижимое имущество, земельного налога;</w:t>
      </w:r>
    </w:p>
    <w:p>
      <w:pPr>
        <w:spacing w:after="60"/>
        <w:ind w:firstLine="567"/>
        <w:jc w:val="both"/>
      </w:pPr>
      <w:r>
        <w:rPr>
          <w:rFonts w:ascii="Arial" w:cs="Arial" w:eastAsia="Arial" w:hAnsi="Arial"/>
          <w:sz w:val="24"/>
          <w:szCs w:val="24"/>
        </w:rPr>
        <w:t xml:space="preserve">- приведет к утере базы налоговых органов по движимому имуществу в преддверии введения всеобщего декларирования доходов, отсутствию возможности проведения достоверного анализа по имуществу 4 группы в разрезе регионов, айыл окмоту, населенных пунктов и уплаты налога;</w:t>
      </w:r>
    </w:p>
    <w:p>
      <w:pPr>
        <w:spacing w:after="60"/>
        <w:ind w:firstLine="567"/>
        <w:jc w:val="both"/>
      </w:pPr>
      <w:r>
        <w:rPr>
          <w:rFonts w:ascii="Arial" w:cs="Arial" w:eastAsia="Arial" w:hAnsi="Arial"/>
          <w:sz w:val="24"/>
          <w:szCs w:val="24"/>
        </w:rPr>
        <w:t xml:space="preserve">- потребует внесения изменений в Налоговый </w:t>
      </w:r>
      <w:hyperlink w:history="1" r:id="rIddggqre9lswwnkie0kmwpv">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 части увеличения действующих ставок акцизного налога на бензин, при этом данный налог будет поступать в республиканский бюджет;</w:t>
      </w:r>
    </w:p>
    <w:p>
      <w:pPr>
        <w:spacing w:after="60"/>
        <w:ind w:firstLine="567"/>
        <w:jc w:val="both"/>
      </w:pPr>
      <w:r>
        <w:rPr>
          <w:rFonts w:ascii="Arial" w:cs="Arial" w:eastAsia="Arial" w:hAnsi="Arial"/>
          <w:sz w:val="24"/>
          <w:szCs w:val="24"/>
        </w:rPr>
        <w:t xml:space="preserve">- приведет к удорожанию предоставляемых транспортных услуг, на фоне роста цен на ГСМ, возможно, вызовет негативное восприятие со стороны социально уязвимых слоев населения, транспортных компаний, крестьянских, фермерских хозяйств и непосредственно субъектов, занимающихся данным видом деятельности (нефтетрейдеров).</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принятие проекта Закона Кыргызской Республики "О внесении изменений в Налоговый </w:t>
      </w:r>
      <w:hyperlink w:history="1" r:id="rIdnh2ebnmibekxxmn8yf0vv">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предусматривающего упразднение налога на имущество по IV группе, нецелесообразным.</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z2d_qs3nrerybwkbxewv">
      <w:r>
        <w:rPr>
          <w:rFonts w:ascii="Arial" w:cs="Arial" w:eastAsia="Arial" w:hAnsi="Arial"/>
          <w:color w:val="132D3F"/>
          <w:sz w:val="16"/>
          <w:szCs w:val="16"/>
          <w:u w:val="single"/>
        </w:rPr>
        <w:t xml:space="preserve">dalil.kg/document/98957</w:t>
      </w:r>
    </w:hyperlink>
  </w:p>
  <w:p>
    <w:pPr>
      <w:spacing w:after="0" w:before="40"/>
      <w:jc w:val="center"/>
    </w:pPr>
    <w:hyperlink w:history="1" r:id="rIdahgcwqz7eekuri6xrnw7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pxrp0b2kvdhnnqtzz6cr" Type="http://schemas.openxmlformats.org/officeDocument/2006/relationships/hyperlink" Target="https://dalil.kg/document/203685" TargetMode="External"/><Relationship Id="rIdcwy_8hhe-g7_xnmdkgxgj" Type="http://schemas.openxmlformats.org/officeDocument/2006/relationships/hyperlink" Target="https://dalil.kg/document/98957#p1" TargetMode="External"/><Relationship Id="rIdcbyrglguhgywwukf66gdb" Type="http://schemas.openxmlformats.org/officeDocument/2006/relationships/hyperlink" Target="https://dalil.kg/document/202445" TargetMode="External"/><Relationship Id="rIdzvwoxzklgbb3ye8l0mgoo" Type="http://schemas.openxmlformats.org/officeDocument/2006/relationships/hyperlink" Target="https://dalil.kg/document/203685" TargetMode="External"/><Relationship Id="rIdqqk9nb7h-xxu8sacnfqcu" Type="http://schemas.openxmlformats.org/officeDocument/2006/relationships/hyperlink" Target="https://dalil.kg/document/202445" TargetMode="External"/><Relationship Id="rIdtplzkzlr9uls7f9o4arr7" Type="http://schemas.openxmlformats.org/officeDocument/2006/relationships/hyperlink" Target="https://dalil.kg/document/202445" TargetMode="External"/><Relationship Id="rIddggqre9lswwnkie0kmwpv" Type="http://schemas.openxmlformats.org/officeDocument/2006/relationships/hyperlink" Target="https://dalil.kg/document/202445" TargetMode="External"/><Relationship Id="rIdnh2ebnmibekxxmn8yf0vv" Type="http://schemas.openxmlformats.org/officeDocument/2006/relationships/hyperlink" Target="https://dalil.kg/document/202445"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z2d_qs3nrerybwkbxewv" Type="http://schemas.openxmlformats.org/officeDocument/2006/relationships/hyperlink" Target="https://dalil.kg/document/98957" TargetMode="External"/><Relationship Id="rIdahgcwqz7eekuri6xrnw7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2026-10-03T12:05:01.394Z</dcterms:created>
  <dcterms:modified xsi:type="dcterms:W3CDTF">2026-10-03T12:05:01.394Z</dcterms:modified>
</cp:coreProperties>
</file>

<file path=docProps/custom.xml><?xml version="1.0" encoding="utf-8"?>
<Properties xmlns="http://schemas.openxmlformats.org/officeDocument/2006/custom-properties" xmlns:vt="http://schemas.openxmlformats.org/officeDocument/2006/docPropsVTypes"/>
</file>