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iqajtrxqbqr-_f8_dtb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февраля 2023 года № 63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21 сентября 2017 года № 597</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Национального контрольного списка Кыргызской Республики контролируемой продукции" от 2 апреля 2014 года № 197</w:t>
      </w:r>
    </w:p>
    <w:p>
      <w:pPr>
        <w:spacing w:after="120"/>
        <w:ind w:firstLine="397"/>
        <w:jc w:val="both"/>
      </w:pPr>
      <w:r>
        <w:rPr>
          <w:rFonts w:ascii="Arial" w:cs="Arial" w:eastAsia="Arial" w:hAnsi="Arial"/>
          <w:sz w:val="24"/>
          <w:szCs w:val="24"/>
        </w:rPr>
        <w:t xml:space="preserve">В целях реализации решения Совета Евразийской экономической комиссии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от 18 октября 2016 года № 101,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9jr8ghb7ar3_daqcr8u4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изменения в </w:t>
      </w:r>
      <w:hyperlink w:history="1" r:id="rIdpudrcfvvm_ssdsq-gsbm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Национального контрольного списка Кыргызской Республики контролируемой продукции" от 2 апреля 2014 года № 197 согласно </w:t>
      </w:r>
      <w:hyperlink w:history="1" r:id="rIdf1fk5-ysjp1ckztyvst_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1 января 2017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ИЗМЕНЕНИЯ
 в постановление Правительства Кыргызской Республики "Об утверждении Национального контрольного списка Кыргызской Республики контролируемой продукции" от 2 апреля 2014 года № 197</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Национальном контрольном списке</w:t>
      </w:r>
      <w:r>
        <w:rPr>
          <w:rFonts w:ascii="Arial" w:cs="Arial" w:eastAsia="Arial" w:hAnsi="Arial"/>
          <w:sz w:val="24"/>
          <w:szCs w:val="24"/>
        </w:rPr>
        <w:t xml:space="preserve"> Кыргызской Республики контролируемой продукции, утвержденном указанным</w:t>
      </w:r>
      <w:hyperlink w:history="1" r:id="rId75rnsiuwo4m3z9ms6s0ol">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по всему тексту слова "Евразийского экономического сообщества" заменить словами "Евразийского экономического союза";</w:t>
      </w:r>
    </w:p>
    <w:p>
      <w:pPr>
        <w:spacing w:after="60"/>
        <w:ind w:firstLine="567"/>
        <w:jc w:val="both"/>
      </w:pPr>
      <w:r>
        <w:rPr>
          <w:rFonts w:ascii="Arial" w:cs="Arial" w:eastAsia="Arial" w:hAnsi="Arial"/>
          <w:sz w:val="24"/>
          <w:szCs w:val="24"/>
        </w:rPr>
        <w:t xml:space="preserve">2) в разделе 5 Списка подлежащих экспортному контролю возбудителей заболеваний (патогенов) человека, животных и растений, генетически измененных микроорганизмов, токсинов, оборудования и технологий:</w:t>
      </w:r>
    </w:p>
    <w:p>
      <w:pPr>
        <w:spacing w:after="60"/>
        <w:ind w:firstLine="567"/>
        <w:jc w:val="both"/>
      </w:pPr>
      <w:r>
        <w:rPr>
          <w:rFonts w:ascii="Arial" w:cs="Arial" w:eastAsia="Arial" w:hAnsi="Arial"/>
          <w:sz w:val="24"/>
          <w:szCs w:val="24"/>
        </w:rPr>
        <w:t xml:space="preserve">- пункт 5.5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7456"/>
        <w:gridCol w:w="1952"/>
      </w:tblGrid>
      <w:tr>
        <w:tc>
          <w:tcPr>
            <w:tcW w:type="dxa" w:w="7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4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Стерилизуемое паром оборудование для лиофильной сушки с производительностью испарителя более 10 кг и менее 1000 кг льда в сутки</w:t>
            </w:r>
          </w:p>
        </w:tc>
        <w:tc>
          <w:tcPr>
            <w:tcW w:type="dxa" w:w="19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39 000 1;</w:t>
            </w:r>
          </w:p>
          <w:p>
            <w:pPr>
              <w:jc w:val="left"/>
            </w:pPr>
            <w:r>
              <w:rPr>
                <w:rFonts w:ascii="Arial" w:cs="Arial" w:eastAsia="Arial" w:hAnsi="Arial"/>
                <w:sz w:val="24"/>
                <w:szCs w:val="24"/>
              </w:rPr>
              <w:t xml:space="preserve">8419 39 000 9</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5.6.2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4"/>
        <w:gridCol w:w="7422"/>
        <w:gridCol w:w="1952"/>
      </w:tblGrid>
      <w:tr>
        <w:tc>
          <w:tcPr>
            <w:tcW w:type="dxa" w:w="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7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Биологические защитные боксы третьего класса или изолирующие системы с аналогичными стандартными функциями (то есть пленочные изоляторы, сухие боксы, анаэробные камеры, перчаточные боксы или ламинарные проточные вытяжные шкафы)</w:t>
            </w:r>
          </w:p>
        </w:tc>
        <w:tc>
          <w:tcPr>
            <w:tcW w:type="dxa" w:w="19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60 000 1;</w:t>
            </w:r>
          </w:p>
          <w:p>
            <w:pPr>
              <w:jc w:val="left"/>
            </w:pPr>
            <w:r>
              <w:rPr>
                <w:rFonts w:ascii="Arial" w:cs="Arial" w:eastAsia="Arial" w:hAnsi="Arial"/>
                <w:sz w:val="24"/>
                <w:szCs w:val="24"/>
              </w:rPr>
              <w:t xml:space="preserve">8414 80 800 0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5.8.1 - 5.8.3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4"/>
        <w:gridCol w:w="7375"/>
        <w:gridCol w:w="1999"/>
      </w:tblGrid>
      <w:tr>
        <w:tc>
          <w:tcPr>
            <w:tcW w:type="dxa" w:w="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73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Распыливающее или туманообразующее оборудование, специально сконструированное или модифицированное для установки на самолеты, летательные аппараты легче воздуха или беспилотные летательные аппараты, способное образовывать из жидких суспензий инфекционные аэрозоли со средним массовым диаметром частиц меньше 50 мкм и скоростью образования больше чем два литра в минуту</w:t>
            </w:r>
          </w:p>
        </w:tc>
        <w:tc>
          <w:tcPr>
            <w:tcW w:type="dxa" w:w="19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p>
            <w:pPr>
              <w:jc w:val="left"/>
            </w:pPr>
            <w:r>
              <w:rPr>
                <w:rFonts w:ascii="Arial" w:cs="Arial" w:eastAsia="Arial" w:hAnsi="Arial"/>
                <w:sz w:val="24"/>
                <w:szCs w:val="24"/>
              </w:rPr>
              <w:t xml:space="preserve">8424 90 000 0</w:t>
            </w:r>
          </w:p>
        </w:tc>
      </w:tr>
      <w:tr>
        <w:tc>
          <w:tcPr>
            <w:tcW w:type="dxa" w:w="8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7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Распыливающие штанги или наборы распыливающих узлов, специально сконструированные или модифицированные для установки на самолеты, летательные аппараты легче воздуха или беспилотные летательные аппараты, способные производить из жидких суспензий первоначальный аэрозоль со средним массовым диаметром частиц меньше 50 мкм и производительностью более двух литров в минуту</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tc>
      </w:tr>
      <w:tr>
        <w:tc>
          <w:tcPr>
            <w:tcW w:type="dxa" w:w="8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5.8.3.</w:t>
            </w:r>
          </w:p>
        </w:tc>
        <w:tc>
          <w:tcPr>
            <w:tcW w:type="dxa" w:w="7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Распыливающие узлы для использования в оборудовании и его компонентах, указанных в пунктах 5.8.1 и 5.8.2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Списке подлежащих экспортному контролю химикатов, оборудования и технологий, которые могут быть использованы при создании химического оружия:</w:t>
      </w:r>
    </w:p>
    <w:p>
      <w:pPr>
        <w:spacing w:after="60"/>
        <w:ind w:firstLine="567"/>
        <w:jc w:val="both"/>
      </w:pPr>
      <w:r>
        <w:rPr>
          <w:rFonts w:ascii="Arial" w:cs="Arial" w:eastAsia="Arial" w:hAnsi="Arial"/>
          <w:sz w:val="24"/>
          <w:szCs w:val="24"/>
        </w:rPr>
        <w:t xml:space="preserve">- пункты 2.2.1.3 - 2.2.1.6 раздела 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4541"/>
        <w:gridCol w:w="2331"/>
        <w:gridCol w:w="2029"/>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4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 (метил) фосфонат</w:t>
            </w:r>
          </w:p>
        </w:tc>
        <w:tc>
          <w:tcPr>
            <w:tcW w:type="dxa" w:w="2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2931 31 000 0</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756-79-6</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 (этил) фосфонат</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2931 33 000 0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78-38-6</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 (этил) фосфонат</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39 000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6163-75-3</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 (метил) фосфонит</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39 000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15715-41-0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3:</w:t>
      </w:r>
    </w:p>
    <w:p>
      <w:pPr>
        <w:spacing w:after="60"/>
        <w:ind w:firstLine="567"/>
        <w:jc w:val="both"/>
      </w:pPr>
      <w:r>
        <w:rPr>
          <w:rFonts w:ascii="Arial" w:cs="Arial" w:eastAsia="Arial" w:hAnsi="Arial"/>
          <w:sz w:val="24"/>
          <w:szCs w:val="24"/>
        </w:rPr>
        <w:t xml:space="preserve">пункты 3.1.1 - 3.1.4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4541"/>
        <w:gridCol w:w="2331"/>
        <w:gridCol w:w="2029"/>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4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Дихлорангидрид угольной кислоты (фосген)</w:t>
            </w:r>
          </w:p>
        </w:tc>
        <w:tc>
          <w:tcPr>
            <w:tcW w:type="dxa" w:w="2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2812 11 000 0</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75-44-5</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Хлорциан</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2853 10 000 0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506-77-4</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водород</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2811 12 000 0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74-90-8</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Трихлорнитрометан (хлорпикрин)</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2904 91 000 0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76-06-2</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3.2.1 - 3.2.13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6"/>
        <w:gridCol w:w="4474"/>
        <w:gridCol w:w="2369"/>
        <w:gridCol w:w="1989"/>
      </w:tblGrid>
      <w:tr>
        <w:tc>
          <w:tcPr>
            <w:tcW w:type="dxa" w:w="1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44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Хлорокись фосфора</w:t>
            </w:r>
          </w:p>
        </w:tc>
        <w:tc>
          <w:tcPr>
            <w:tcW w:type="dxa" w:w="23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2812 12 000 0</w:t>
            </w:r>
          </w:p>
        </w:tc>
        <w:tc>
          <w:tcPr>
            <w:tcW w:type="dxa" w:w="1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10025-87-3</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Треххлористый фосфор</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2812 13 000 0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7719-12-2</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Пятихлористый фосфор</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2812 14 000 0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10026-13-8</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Триметилфосфит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2920 23 000 0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121-45-9</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Триэтилфосфит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2920 24 000 0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122-52-1</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Диметилфосфит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2920 21 000 0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868-85-9</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Диэтилфосфит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2920 22 000 0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762-04-9</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Монохлористая сера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2812 15 000 0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10025-67-9</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Двухлористая сера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2812 16 000 0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10545-99-0</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3.2.10.</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Хлористый тионил</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2812 17 000 0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7719-09-7</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Этилдиэтаноламин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2922 17 000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139-87-7</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Метилдиэтаноламин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2922 17 000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105-59-9</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Триэтаноламин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2922 15 000 0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102-71-6</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5:</w:t>
      </w:r>
    </w:p>
    <w:p>
      <w:pPr>
        <w:spacing w:after="60"/>
        <w:ind w:firstLine="567"/>
        <w:jc w:val="both"/>
      </w:pPr>
      <w:r>
        <w:rPr>
          <w:rFonts w:ascii="Arial" w:cs="Arial" w:eastAsia="Arial" w:hAnsi="Arial"/>
          <w:sz w:val="24"/>
          <w:szCs w:val="24"/>
        </w:rPr>
        <w:t xml:space="preserve">пункт 5.2.1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4"/>
        <w:gridCol w:w="5714"/>
        <w:gridCol w:w="2174"/>
        <w:gridCol w:w="1486"/>
      </w:tblGrid>
      <w:tr>
        <w:tc>
          <w:tcPr>
            <w:tcW w:type="dxa" w:w="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5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Реакционные сосуды или реакторы со смесителями либо без них, которые имеют общий внутренний объем свыше 0,1 куб.м (100 л) и менее 20 куб.м (20000 л) и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 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2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3926 90 970 6;</w:t>
            </w:r>
          </w:p>
          <w:p>
            <w:pPr>
              <w:jc w:val="both"/>
            </w:pPr>
            <w:r>
              <w:rPr>
                <w:rFonts w:ascii="Arial" w:cs="Arial" w:eastAsia="Arial" w:hAnsi="Arial"/>
                <w:sz w:val="24"/>
                <w:szCs w:val="24"/>
              </w:rPr>
              <w:t xml:space="preserve">7020 00;</w:t>
            </w:r>
          </w:p>
          <w:p>
            <w:pPr>
              <w:jc w:val="both"/>
            </w:pPr>
            <w:r>
              <w:rPr>
                <w:rFonts w:ascii="Arial" w:cs="Arial" w:eastAsia="Arial" w:hAnsi="Arial"/>
                <w:sz w:val="24"/>
                <w:szCs w:val="24"/>
              </w:rPr>
              <w:t xml:space="preserve">7115 90;</w:t>
            </w:r>
          </w:p>
          <w:p>
            <w:pPr>
              <w:jc w:val="both"/>
            </w:pPr>
            <w:r>
              <w:rPr>
                <w:rFonts w:ascii="Arial" w:cs="Arial" w:eastAsia="Arial" w:hAnsi="Arial"/>
                <w:sz w:val="24"/>
                <w:szCs w:val="24"/>
              </w:rPr>
              <w:t xml:space="preserve">7309 00 300 0;</w:t>
            </w:r>
          </w:p>
          <w:p>
            <w:pPr>
              <w:jc w:val="both"/>
            </w:pPr>
            <w:r>
              <w:rPr>
                <w:rFonts w:ascii="Arial" w:cs="Arial" w:eastAsia="Arial" w:hAnsi="Arial"/>
                <w:sz w:val="24"/>
                <w:szCs w:val="24"/>
              </w:rPr>
              <w:t xml:space="preserve">7309 00 590 0;</w:t>
            </w:r>
          </w:p>
          <w:p>
            <w:pPr>
              <w:jc w:val="both"/>
            </w:pPr>
            <w:r>
              <w:rPr>
                <w:rFonts w:ascii="Arial" w:cs="Arial" w:eastAsia="Arial" w:hAnsi="Arial"/>
                <w:sz w:val="24"/>
                <w:szCs w:val="24"/>
              </w:rPr>
              <w:t xml:space="preserve">7310 10 000 0;</w:t>
            </w:r>
          </w:p>
          <w:p>
            <w:pPr>
              <w:jc w:val="both"/>
            </w:pPr>
            <w:r>
              <w:rPr>
                <w:rFonts w:ascii="Arial" w:cs="Arial" w:eastAsia="Arial" w:hAnsi="Arial"/>
                <w:sz w:val="24"/>
                <w:szCs w:val="24"/>
              </w:rPr>
              <w:t xml:space="preserve">7508 90 000 9;</w:t>
            </w:r>
          </w:p>
          <w:p>
            <w:pPr>
              <w:jc w:val="both"/>
            </w:pPr>
            <w:r>
              <w:rPr>
                <w:rFonts w:ascii="Arial" w:cs="Arial" w:eastAsia="Arial" w:hAnsi="Arial"/>
                <w:sz w:val="24"/>
                <w:szCs w:val="24"/>
              </w:rPr>
              <w:t xml:space="preserve">8103 90 900 0;</w:t>
            </w:r>
          </w:p>
          <w:p>
            <w:pPr>
              <w:jc w:val="both"/>
            </w:pPr>
            <w:r>
              <w:rPr>
                <w:rFonts w:ascii="Arial" w:cs="Arial" w:eastAsia="Arial" w:hAnsi="Arial"/>
                <w:sz w:val="24"/>
                <w:szCs w:val="24"/>
              </w:rPr>
              <w:t xml:space="preserve">8108 90 900 9;</w:t>
            </w:r>
          </w:p>
          <w:p>
            <w:pPr>
              <w:jc w:val="both"/>
            </w:pPr>
            <w:r>
              <w:rPr>
                <w:rFonts w:ascii="Arial" w:cs="Arial" w:eastAsia="Arial" w:hAnsi="Arial"/>
                <w:sz w:val="24"/>
                <w:szCs w:val="24"/>
              </w:rPr>
              <w:t xml:space="preserve">8109 90 000 0;</w:t>
            </w:r>
          </w:p>
          <w:p>
            <w:pPr>
              <w:jc w:val="both"/>
            </w:pPr>
            <w:r>
              <w:rPr>
                <w:rFonts w:ascii="Arial" w:cs="Arial" w:eastAsia="Arial" w:hAnsi="Arial"/>
                <w:sz w:val="24"/>
                <w:szCs w:val="24"/>
              </w:rPr>
              <w:t xml:space="preserve">8419 89 989 0;</w:t>
            </w:r>
          </w:p>
          <w:p>
            <w:pPr>
              <w:jc w:val="both"/>
            </w:pPr>
            <w:r>
              <w:rPr>
                <w:rFonts w:ascii="Arial" w:cs="Arial" w:eastAsia="Arial" w:hAnsi="Arial"/>
                <w:sz w:val="24"/>
                <w:szCs w:val="24"/>
              </w:rPr>
              <w:t xml:space="preserve">8479 82 000 0;</w:t>
            </w:r>
          </w:p>
          <w:p>
            <w:pPr>
              <w:jc w:val="both"/>
            </w:pPr>
            <w:r>
              <w:rPr>
                <w:rFonts w:ascii="Arial" w:cs="Arial" w:eastAsia="Arial" w:hAnsi="Arial"/>
                <w:sz w:val="24"/>
                <w:szCs w:val="24"/>
              </w:rPr>
              <w:t xml:space="preserve">8112 99 300 0;</w:t>
            </w:r>
          </w:p>
          <w:p>
            <w:pPr>
              <w:jc w:val="both"/>
            </w:pPr>
            <w:r>
              <w:rPr>
                <w:rFonts w:ascii="Arial" w:cs="Arial" w:eastAsia="Arial" w:hAnsi="Arial"/>
                <w:sz w:val="24"/>
                <w:szCs w:val="24"/>
              </w:rPr>
              <w:t xml:space="preserve">8479 89 970 8</w:t>
            </w:r>
          </w:p>
        </w:tc>
        <w:tc>
          <w:tcPr>
            <w:tcW w:type="dxa" w:w="14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5.3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5749"/>
        <w:gridCol w:w="2174"/>
        <w:gridCol w:w="1486"/>
      </w:tblGrid>
      <w:tr>
        <w:tc>
          <w:tcPr>
            <w:tcW w:type="dxa" w:w="7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хранения, контейнеры или накопители, которые имеют общий внутренний объем свыше 0,1 куб.м (100 л) и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2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3923 10 000 0;</w:t>
            </w:r>
          </w:p>
          <w:p>
            <w:pPr>
              <w:jc w:val="left"/>
            </w:pPr>
            <w:r>
              <w:rPr>
                <w:rFonts w:ascii="Arial" w:cs="Arial" w:eastAsia="Arial" w:hAnsi="Arial"/>
                <w:sz w:val="24"/>
                <w:szCs w:val="24"/>
              </w:rPr>
              <w:t xml:space="preserve">3923 29 900 0;</w:t>
            </w:r>
          </w:p>
          <w:p>
            <w:pPr>
              <w:jc w:val="left"/>
            </w:pPr>
            <w:r>
              <w:rPr>
                <w:rFonts w:ascii="Arial" w:cs="Arial" w:eastAsia="Arial" w:hAnsi="Arial"/>
                <w:sz w:val="24"/>
                <w:szCs w:val="24"/>
              </w:rPr>
              <w:t xml:space="preserve">3923 30 909 0;</w:t>
            </w:r>
          </w:p>
          <w:p>
            <w:pPr>
              <w:jc w:val="left"/>
            </w:pPr>
            <w:r>
              <w:rPr>
                <w:rFonts w:ascii="Arial" w:cs="Arial" w:eastAsia="Arial" w:hAnsi="Arial"/>
                <w:sz w:val="24"/>
                <w:szCs w:val="24"/>
              </w:rPr>
              <w:t xml:space="preserve">7010 90 910 1;</w:t>
            </w:r>
          </w:p>
          <w:p>
            <w:pPr>
              <w:jc w:val="left"/>
            </w:pPr>
            <w:r>
              <w:rPr>
                <w:rFonts w:ascii="Arial" w:cs="Arial" w:eastAsia="Arial" w:hAnsi="Arial"/>
                <w:sz w:val="24"/>
                <w:szCs w:val="24"/>
              </w:rPr>
              <w:t xml:space="preserve">7010 90 990 1;</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w:t>
            </w:r>
          </w:p>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00 590 0;</w:t>
            </w:r>
          </w:p>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7311 00;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90 900 0;</w:t>
            </w:r>
          </w:p>
          <w:p>
            <w:pPr>
              <w:jc w:val="left"/>
            </w:pPr>
            <w:r>
              <w:rPr>
                <w:rFonts w:ascii="Arial" w:cs="Arial" w:eastAsia="Arial" w:hAnsi="Arial"/>
                <w:sz w:val="24"/>
                <w:szCs w:val="24"/>
              </w:rPr>
              <w:t xml:space="preserve">8108 90 900 9;</w:t>
            </w:r>
          </w:p>
          <w:p>
            <w:pPr>
              <w:jc w:val="left"/>
            </w:pPr>
            <w:r>
              <w:rPr>
                <w:rFonts w:ascii="Arial" w:cs="Arial" w:eastAsia="Arial" w:hAnsi="Arial"/>
                <w:sz w:val="24"/>
                <w:szCs w:val="24"/>
              </w:rPr>
              <w:t xml:space="preserve">8109 90 000 0;</w:t>
            </w:r>
          </w:p>
          <w:p>
            <w:pPr>
              <w:jc w:val="left"/>
            </w:pPr>
            <w:r>
              <w:rPr>
                <w:rFonts w:ascii="Arial" w:cs="Arial" w:eastAsia="Arial" w:hAnsi="Arial"/>
                <w:sz w:val="24"/>
                <w:szCs w:val="24"/>
              </w:rPr>
              <w:t xml:space="preserve">8609 00 900 9;</w:t>
            </w:r>
          </w:p>
          <w:p>
            <w:pPr>
              <w:jc w:val="left"/>
            </w:pPr>
            <w:r>
              <w:rPr>
                <w:rFonts w:ascii="Arial" w:cs="Arial" w:eastAsia="Arial" w:hAnsi="Arial"/>
                <w:sz w:val="24"/>
                <w:szCs w:val="24"/>
              </w:rPr>
              <w:t xml:space="preserve">8112 99 300 0</w:t>
            </w:r>
          </w:p>
        </w:tc>
        <w:tc>
          <w:tcPr>
            <w:tcW w:type="dxa" w:w="1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5.8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5749"/>
        <w:gridCol w:w="2174"/>
        <w:gridCol w:w="1486"/>
      </w:tblGrid>
      <w:tr>
        <w:tc>
          <w:tcPr>
            <w:tcW w:type="dxa" w:w="7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Многоцелевые коммуникации (двойные и многостенные трубы) типа труба в трубе, которые имеют отверстие для обнаружения течи и у которых все поверхности внутреннего трубопровода,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 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2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w:t>
            </w:r>
          </w:p>
          <w:p>
            <w:pPr>
              <w:jc w:val="left"/>
            </w:pPr>
            <w:r>
              <w:rPr>
                <w:rFonts w:ascii="Arial" w:cs="Arial" w:eastAsia="Arial" w:hAnsi="Arial"/>
                <w:sz w:val="24"/>
                <w:szCs w:val="24"/>
              </w:rPr>
              <w:t xml:space="preserve">6815 10 900 1;</w:t>
            </w:r>
          </w:p>
          <w:p>
            <w:pPr>
              <w:jc w:val="left"/>
            </w:pPr>
            <w:r>
              <w:rPr>
                <w:rFonts w:ascii="Arial" w:cs="Arial" w:eastAsia="Arial" w:hAnsi="Arial"/>
                <w:sz w:val="24"/>
                <w:szCs w:val="24"/>
              </w:rPr>
              <w:t xml:space="preserve">6815 10 900 8;</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w:t>
            </w:r>
          </w:p>
          <w:p>
            <w:pPr>
              <w:jc w:val="left"/>
            </w:pPr>
            <w:r>
              <w:rPr>
                <w:rFonts w:ascii="Arial" w:cs="Arial" w:eastAsia="Arial" w:hAnsi="Arial"/>
                <w:sz w:val="24"/>
                <w:szCs w:val="24"/>
              </w:rPr>
              <w:t xml:space="preserve">7303 00;</w:t>
            </w:r>
          </w:p>
          <w:p>
            <w:pPr>
              <w:jc w:val="left"/>
            </w:pPr>
            <w:r>
              <w:rPr>
                <w:rFonts w:ascii="Arial" w:cs="Arial" w:eastAsia="Arial" w:hAnsi="Arial"/>
                <w:sz w:val="24"/>
                <w:szCs w:val="24"/>
              </w:rPr>
              <w:t xml:space="preserve">7304;</w:t>
            </w:r>
          </w:p>
          <w:p>
            <w:pPr>
              <w:jc w:val="left"/>
            </w:pPr>
            <w:r>
              <w:rPr>
                <w:rFonts w:ascii="Arial" w:cs="Arial" w:eastAsia="Arial" w:hAnsi="Arial"/>
                <w:sz w:val="24"/>
                <w:szCs w:val="24"/>
              </w:rPr>
              <w:t xml:space="preserve">7305;</w:t>
            </w:r>
          </w:p>
          <w:p>
            <w:pPr>
              <w:jc w:val="left"/>
            </w:pPr>
            <w:r>
              <w:rPr>
                <w:rFonts w:ascii="Arial" w:cs="Arial" w:eastAsia="Arial" w:hAnsi="Arial"/>
                <w:sz w:val="24"/>
                <w:szCs w:val="24"/>
              </w:rPr>
              <w:t xml:space="preserve">7306;</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90 900 0;</w:t>
            </w:r>
          </w:p>
          <w:p>
            <w:pPr>
              <w:jc w:val="left"/>
            </w:pPr>
            <w:r>
              <w:rPr>
                <w:rFonts w:ascii="Arial" w:cs="Arial" w:eastAsia="Arial" w:hAnsi="Arial"/>
                <w:sz w:val="24"/>
                <w:szCs w:val="24"/>
              </w:rPr>
              <w:t xml:space="preserve">8108 90 900 9;</w:t>
            </w:r>
          </w:p>
          <w:p>
            <w:pPr>
              <w:jc w:val="left"/>
            </w:pPr>
            <w:r>
              <w:rPr>
                <w:rFonts w:ascii="Arial" w:cs="Arial" w:eastAsia="Arial" w:hAnsi="Arial"/>
                <w:sz w:val="24"/>
                <w:szCs w:val="24"/>
              </w:rPr>
              <w:t xml:space="preserve">8109 90 000 0;</w:t>
            </w:r>
          </w:p>
          <w:p>
            <w:pPr>
              <w:jc w:val="left"/>
            </w:pPr>
            <w:r>
              <w:rPr>
                <w:rFonts w:ascii="Arial" w:cs="Arial" w:eastAsia="Arial" w:hAnsi="Arial"/>
                <w:sz w:val="24"/>
                <w:szCs w:val="24"/>
              </w:rPr>
              <w:t xml:space="preserve">8419 90 850;</w:t>
            </w:r>
          </w:p>
          <w:p>
            <w:pPr>
              <w:jc w:val="left"/>
            </w:pPr>
            <w:r>
              <w:rPr>
                <w:rFonts w:ascii="Arial" w:cs="Arial" w:eastAsia="Arial" w:hAnsi="Arial"/>
                <w:sz w:val="24"/>
                <w:szCs w:val="24"/>
              </w:rPr>
              <w:t xml:space="preserve">8112 99 300 0</w:t>
            </w:r>
          </w:p>
        </w:tc>
        <w:tc>
          <w:tcPr>
            <w:tcW w:type="dxa" w:w="14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5.10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5778"/>
        <w:gridCol w:w="2176"/>
        <w:gridCol w:w="1486"/>
      </w:tblGrid>
      <w:tr>
        <w:tc>
          <w:tcPr>
            <w:tcW w:type="dxa" w:w="7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57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для сжигания, оборудованные специально сконструированными системами подачи уничтожаемых продуктов, специальными системами проведения процесса, предназначенные для уничтожения боевых отравляющих веществ, контролируемых химикатов или химического снаряжения, со средней температурой в камере сгорания более 1000 °С, у которых все поверхности в системе подачи, вступающие в контакт с уничтожаемыми продуктами, изготовлены из одного или нескольких нижеуказанных коррозионно-стойких материалов или облицованы ими: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керамики</w:t>
            </w:r>
          </w:p>
        </w:tc>
        <w:tc>
          <w:tcPr>
            <w:tcW w:type="dxa" w:w="21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80 300 0;</w:t>
            </w:r>
          </w:p>
          <w:p>
            <w:pPr>
              <w:jc w:val="left"/>
            </w:pPr>
            <w:r>
              <w:rPr>
                <w:rFonts w:ascii="Arial" w:cs="Arial" w:eastAsia="Arial" w:hAnsi="Arial"/>
                <w:sz w:val="24"/>
                <w:szCs w:val="24"/>
              </w:rPr>
              <w:t xml:space="preserve">8417 80 500 0;</w:t>
            </w:r>
          </w:p>
          <w:p>
            <w:pPr>
              <w:jc w:val="left"/>
            </w:pPr>
            <w:r>
              <w:rPr>
                <w:rFonts w:ascii="Arial" w:cs="Arial" w:eastAsia="Arial" w:hAnsi="Arial"/>
                <w:sz w:val="24"/>
                <w:szCs w:val="24"/>
              </w:rPr>
              <w:t xml:space="preserve">8417 80 700 0;</w:t>
            </w:r>
          </w:p>
          <w:p>
            <w:pPr>
              <w:jc w:val="left"/>
            </w:pPr>
            <w:r>
              <w:rPr>
                <w:rFonts w:ascii="Arial" w:cs="Arial" w:eastAsia="Arial" w:hAnsi="Arial"/>
                <w:sz w:val="24"/>
                <w:szCs w:val="24"/>
              </w:rPr>
              <w:t xml:space="preserve">8514 20 800 0;</w:t>
            </w:r>
          </w:p>
          <w:p>
            <w:pPr>
              <w:jc w:val="left"/>
            </w:pPr>
            <w:r>
              <w:rPr>
                <w:rFonts w:ascii="Arial" w:cs="Arial" w:eastAsia="Arial" w:hAnsi="Arial"/>
                <w:sz w:val="24"/>
                <w:szCs w:val="24"/>
              </w:rPr>
              <w:t xml:space="preserve">8514 30 000 0</w:t>
            </w:r>
          </w:p>
        </w:tc>
        <w:tc>
          <w:tcPr>
            <w:tcW w:type="dxa" w:w="1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разделе 2 Списка подлежащих экспортному контролю ядерных материалов, оборудования, специальных неядерных материалов и соответствующих технологий:</w:t>
      </w:r>
    </w:p>
    <w:p>
      <w:pPr>
        <w:spacing w:after="60"/>
        <w:ind w:firstLine="567"/>
        <w:jc w:val="both"/>
      </w:pPr>
      <w:r>
        <w:rPr>
          <w:rFonts w:ascii="Arial" w:cs="Arial" w:eastAsia="Arial" w:hAnsi="Arial"/>
          <w:sz w:val="24"/>
          <w:szCs w:val="24"/>
        </w:rPr>
        <w:t xml:space="preserve">- пункт 2.5.2.2.4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2.5.2.2.4.</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w:t>
            </w:r>
          </w:p>
          <w:p>
            <w:pPr>
              <w:jc w:val="left"/>
            </w:pPr>
            <w:r>
              <w:rPr>
                <w:rFonts w:ascii="Arial" w:cs="Arial" w:eastAsia="Arial" w:hAnsi="Arial"/>
                <w:sz w:val="24"/>
                <w:szCs w:val="24"/>
              </w:rPr>
              <w:t xml:space="preserve">Специально разработанные или подготовленные преобразователи частоты (также известные как конвертеры или инверторы) для питания статоров двигателей, указанных в пункте 2.5.2.1.2.4, или части, компоненты и подсборки таких преобразователей частоты, обладающие полным набором следующих характеристик:</w:t>
            </w:r>
          </w:p>
          <w:p>
            <w:pPr>
              <w:jc w:val="left"/>
            </w:pPr>
            <w:r>
              <w:rPr>
                <w:rFonts w:ascii="Arial" w:cs="Arial" w:eastAsia="Arial" w:hAnsi="Arial"/>
                <w:sz w:val="24"/>
                <w:szCs w:val="24"/>
              </w:rPr>
              <w:t xml:space="preserve">1) многофазный выход в диапазоне от 600 до 2000 Гц;</w:t>
            </w:r>
          </w:p>
          <w:p>
            <w:pPr>
              <w:jc w:val="left"/>
            </w:pPr>
            <w:r>
              <w:rPr>
                <w:rFonts w:ascii="Arial" w:cs="Arial" w:eastAsia="Arial" w:hAnsi="Arial"/>
                <w:sz w:val="24"/>
                <w:szCs w:val="24"/>
              </w:rPr>
              <w:t xml:space="preserve">2) высокая стабильность (со стабилизацией частоты лучше 0,1%);</w:t>
            </w:r>
          </w:p>
          <w:p>
            <w:pPr>
              <w:jc w:val="left"/>
            </w:pPr>
            <w:r>
              <w:rPr>
                <w:rFonts w:ascii="Arial" w:cs="Arial" w:eastAsia="Arial" w:hAnsi="Arial"/>
                <w:sz w:val="24"/>
                <w:szCs w:val="24"/>
              </w:rPr>
              <w:t xml:space="preserve">3) низкие нелинейные искажения (менее 2%);</w:t>
            </w:r>
          </w:p>
          <w:p>
            <w:pPr>
              <w:jc w:val="left"/>
            </w:pPr>
            <w:r>
              <w:rPr>
                <w:rFonts w:ascii="Arial" w:cs="Arial" w:eastAsia="Arial" w:hAnsi="Arial"/>
                <w:sz w:val="24"/>
                <w:szCs w:val="24"/>
              </w:rPr>
              <w:t xml:space="preserve">4) коэффициент полезного действия свыше 80%</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39 800 0;</w:t>
            </w:r>
          </w:p>
          <w:p>
            <w:pPr>
              <w:jc w:val="left"/>
            </w:pPr>
            <w:r>
              <w:rPr>
                <w:rFonts w:ascii="Arial" w:cs="Arial" w:eastAsia="Arial" w:hAnsi="Arial"/>
                <w:sz w:val="24"/>
                <w:szCs w:val="24"/>
              </w:rPr>
              <w:t xml:space="preserve">8502 40 000 0;</w:t>
            </w:r>
          </w:p>
          <w:p>
            <w:pPr>
              <w:jc w:val="left"/>
            </w:pPr>
            <w:r>
              <w:rPr>
                <w:rFonts w:ascii="Arial" w:cs="Arial" w:eastAsia="Arial" w:hAnsi="Arial"/>
                <w:sz w:val="24"/>
                <w:szCs w:val="24"/>
              </w:rPr>
              <w:t xml:space="preserve">8504 40 900 0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2.5.2.3.1.2.3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6872"/>
        <w:gridCol w:w="1913"/>
      </w:tblGrid>
      <w:tr>
        <w:tc>
          <w:tcPr>
            <w:tcW w:type="dxa" w:w="1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2.5.2.3.1.2.3.</w:t>
            </w:r>
          </w:p>
        </w:tc>
        <w:tc>
          <w:tcPr>
            <w:tcW w:type="dxa" w:w="6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стойких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фторированных углеводородных полимеров с чистотой 99,9% или более</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39 110 0;</w:t>
            </w:r>
          </w:p>
          <w:p>
            <w:pPr>
              <w:jc w:val="left"/>
            </w:pPr>
            <w:r>
              <w:rPr>
                <w:rFonts w:ascii="Arial" w:cs="Arial" w:eastAsia="Arial" w:hAnsi="Arial"/>
                <w:sz w:val="24"/>
                <w:szCs w:val="24"/>
              </w:rPr>
              <w:t xml:space="preserve">2903 39 150 0;</w:t>
            </w:r>
          </w:p>
          <w:p>
            <w:pPr>
              <w:jc w:val="left"/>
            </w:pPr>
            <w:r>
              <w:rPr>
                <w:rFonts w:ascii="Arial" w:cs="Arial" w:eastAsia="Arial" w:hAnsi="Arial"/>
                <w:sz w:val="24"/>
                <w:szCs w:val="24"/>
              </w:rPr>
              <w:t xml:space="preserve">2903 39 190 0;</w:t>
            </w:r>
          </w:p>
          <w:p>
            <w:pPr>
              <w:jc w:val="left"/>
            </w:pPr>
            <w:r>
              <w:rPr>
                <w:rFonts w:ascii="Arial" w:cs="Arial" w:eastAsia="Arial" w:hAnsi="Arial"/>
                <w:sz w:val="24"/>
                <w:szCs w:val="24"/>
              </w:rPr>
              <w:t xml:space="preserve">2903 39 210 0;</w:t>
            </w:r>
          </w:p>
          <w:p>
            <w:pPr>
              <w:jc w:val="left"/>
            </w:pPr>
            <w:r>
              <w:rPr>
                <w:rFonts w:ascii="Arial" w:cs="Arial" w:eastAsia="Arial" w:hAnsi="Arial"/>
                <w:sz w:val="24"/>
                <w:szCs w:val="24"/>
              </w:rPr>
              <w:t xml:space="preserve">2903 39 230 0;</w:t>
            </w:r>
          </w:p>
          <w:p>
            <w:pPr>
              <w:jc w:val="left"/>
            </w:pPr>
            <w:r>
              <w:rPr>
                <w:rFonts w:ascii="Arial" w:cs="Arial" w:eastAsia="Arial" w:hAnsi="Arial"/>
                <w:sz w:val="24"/>
                <w:szCs w:val="24"/>
              </w:rPr>
              <w:t xml:space="preserve">2903 39 240 0;</w:t>
            </w:r>
          </w:p>
          <w:p>
            <w:pPr>
              <w:jc w:val="left"/>
            </w:pPr>
            <w:r>
              <w:rPr>
                <w:rFonts w:ascii="Arial" w:cs="Arial" w:eastAsia="Arial" w:hAnsi="Arial"/>
                <w:sz w:val="24"/>
                <w:szCs w:val="24"/>
              </w:rPr>
              <w:t xml:space="preserve">2903 39 250 0;</w:t>
            </w:r>
          </w:p>
          <w:p>
            <w:pPr>
              <w:jc w:val="left"/>
            </w:pPr>
            <w:r>
              <w:rPr>
                <w:rFonts w:ascii="Arial" w:cs="Arial" w:eastAsia="Arial" w:hAnsi="Arial"/>
                <w:sz w:val="24"/>
                <w:szCs w:val="24"/>
              </w:rPr>
              <w:t xml:space="preserve">2903 39 260 0;</w:t>
            </w:r>
          </w:p>
          <w:p>
            <w:pPr>
              <w:jc w:val="left"/>
            </w:pPr>
            <w:r>
              <w:rPr>
                <w:rFonts w:ascii="Arial" w:cs="Arial" w:eastAsia="Arial" w:hAnsi="Arial"/>
                <w:sz w:val="24"/>
                <w:szCs w:val="24"/>
              </w:rPr>
              <w:t xml:space="preserve">2903 39 270 0;</w:t>
            </w:r>
          </w:p>
          <w:p>
            <w:pPr>
              <w:jc w:val="left"/>
            </w:pPr>
            <w:r>
              <w:rPr>
                <w:rFonts w:ascii="Arial" w:cs="Arial" w:eastAsia="Arial" w:hAnsi="Arial"/>
                <w:sz w:val="24"/>
                <w:szCs w:val="24"/>
              </w:rPr>
              <w:t xml:space="preserve">2903 39 280 0;</w:t>
            </w:r>
          </w:p>
          <w:p>
            <w:pPr>
              <w:jc w:val="left"/>
            </w:pPr>
            <w:r>
              <w:rPr>
                <w:rFonts w:ascii="Arial" w:cs="Arial" w:eastAsia="Arial" w:hAnsi="Arial"/>
                <w:sz w:val="24"/>
                <w:szCs w:val="24"/>
              </w:rPr>
              <w:t xml:space="preserve">2903 39 290 0;</w:t>
            </w:r>
          </w:p>
          <w:p>
            <w:pPr>
              <w:jc w:val="left"/>
            </w:pPr>
            <w:r>
              <w:rPr>
                <w:rFonts w:ascii="Arial" w:cs="Arial" w:eastAsia="Arial" w:hAnsi="Arial"/>
                <w:sz w:val="24"/>
                <w:szCs w:val="24"/>
              </w:rPr>
              <w:t xml:space="preserve">2903 39 310 0;</w:t>
            </w:r>
          </w:p>
          <w:p>
            <w:pPr>
              <w:jc w:val="left"/>
            </w:pPr>
            <w:r>
              <w:rPr>
                <w:rFonts w:ascii="Arial" w:cs="Arial" w:eastAsia="Arial" w:hAnsi="Arial"/>
                <w:sz w:val="24"/>
                <w:szCs w:val="24"/>
              </w:rPr>
              <w:t xml:space="preserve">2903 39 350 0;</w:t>
            </w:r>
          </w:p>
          <w:p>
            <w:pPr>
              <w:jc w:val="left"/>
            </w:pPr>
            <w:r>
              <w:rPr>
                <w:rFonts w:ascii="Arial" w:cs="Arial" w:eastAsia="Arial" w:hAnsi="Arial"/>
                <w:sz w:val="24"/>
                <w:szCs w:val="24"/>
              </w:rPr>
              <w:t xml:space="preserve">2903 39 390 0;</w:t>
            </w:r>
          </w:p>
          <w:p>
            <w:pPr>
              <w:jc w:val="left"/>
            </w:pPr>
            <w:r>
              <w:rPr>
                <w:rFonts w:ascii="Arial" w:cs="Arial" w:eastAsia="Arial" w:hAnsi="Arial"/>
                <w:sz w:val="24"/>
                <w:szCs w:val="24"/>
              </w:rPr>
              <w:t xml:space="preserve">2903 39 800 0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2.5.2.3.4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6872"/>
        <w:gridCol w:w="1913"/>
      </w:tblGrid>
      <w:tr>
        <w:tc>
          <w:tcPr>
            <w:tcW w:type="dxa" w:w="1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2.5.2.3.4.</w:t>
            </w:r>
          </w:p>
        </w:tc>
        <w:tc>
          <w:tcPr>
            <w:tcW w:type="dxa" w:w="6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w:t>
            </w:r>
          </w:p>
          <w:p>
            <w:pPr>
              <w:jc w:val="left"/>
            </w:pPr>
            <w:r>
              <w:rPr>
                <w:rFonts w:ascii="Arial" w:cs="Arial" w:eastAsia="Arial" w:hAnsi="Arial"/>
                <w:sz w:val="24"/>
                <w:szCs w:val="24"/>
              </w:rPr>
              <w:t xml:space="preserve">Специально разработанные или подготовленные вакуумные уплотнения, установленные на стороне подачи и на стороне выхода, для уплотнения вала, соединяющего ротор компрессора или газодувки с приводным двигателем с тем, чтобы обеспечить надежную герметизацию, предотвращающую натекание воздуха во внутреннюю камеру компрессора или газодувки, которая наполнена UF</w:t>
            </w:r>
            <w:r>
              <w:rPr>
                <w:rFonts w:ascii="Arial" w:cs="Arial" w:eastAsia="Arial" w:hAnsi="Arial"/>
                <w:sz w:val="24"/>
                <w:szCs w:val="24"/>
              </w:rPr>
              <w:t xml:space="preserve">6</w:t>
            </w:r>
            <w:r>
              <w:rPr>
                <w:rFonts w:ascii="Arial" w:cs="Arial" w:eastAsia="Arial" w:hAnsi="Arial"/>
                <w:sz w:val="24"/>
                <w:szCs w:val="24"/>
              </w:rPr>
              <w:t xml:space="preserve">. Такие уплотнения обычно проектируются на скорость натекания буферного газа менее 1000 куб.см/мин. (60 куб.дюйм/мин.)</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1;</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8487 90 900 0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2.5.2.4.4 и 2.5.2.4.5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6872"/>
        <w:gridCol w:w="1913"/>
      </w:tblGrid>
      <w:tr>
        <w:tc>
          <w:tcPr>
            <w:tcW w:type="dxa" w:w="1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2.5.2.4.4.</w:t>
            </w:r>
          </w:p>
        </w:tc>
        <w:tc>
          <w:tcPr>
            <w:tcW w:type="dxa" w:w="6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ручные или автоматические стопорные и регулирующие клапаны сильфонного типа, изготовленные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диаметром от 40 до 1500 мм (от 1,5 до 59 дюймов), для установки в основных и вспомогательных системах газодиффузионных установок по обогащению</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2.5.2.4.5.</w:t>
            </w:r>
          </w:p>
        </w:tc>
        <w:tc>
          <w:tcPr>
            <w:tcW w:type="dxa" w:w="6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r>
    </w:tbl>
    <w:p>
      <w:pPr>
        <w:spacing w:after="60"/>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2.5.2.5.10 и 2.5.2.5.11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2.5.2.5.10.</w:t>
            </w:r>
          </w:p>
        </w:tc>
        <w:tc>
          <w:tcPr>
            <w:tcW w:type="dxa" w:w="25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ручные или автоматические стопорные и регулирующие клапаны сильфонного типа,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материалов, диаметром от 40 до 1500 мм для монтажа в основных и вспомогательных системах установок аэродинамического обогащения</w:t>
            </w:r>
          </w:p>
        </w:tc>
        <w:tc>
          <w:tcPr>
            <w:tcW w:type="dxa" w:w="25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2.5.2.6.6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2.5.2.6.6.</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Быстрореагирующие ионообменные смолы/абсорбенты (ионный обмен)</w:t>
            </w:r>
          </w:p>
          <w:p>
            <w:pPr>
              <w:jc w:val="left"/>
            </w:pPr>
            <w:r>
              <w:rPr>
                <w:rFonts w:ascii="Arial" w:cs="Arial" w:eastAsia="Arial" w:hAnsi="Arial"/>
                <w:sz w:val="24"/>
                <w:szCs w:val="24"/>
              </w:rPr>
              <w:t xml:space="preserve">Специально разработанные или подготовленные быстро реагирующие ионно-обменные смолы/абсорбенты для обогащения урана с использованием процесса ионного обмена, включая пористые смолы макросетчатой структуры и (или) мембранные структуры, в которых активные группы химического обмена ограничены покрытием на поверхности неактивной пористой вспомогательной структуры, и другие композитные структуры в любой приемлемой форме, включая частицы волокон. Эти ионообменные смолы/абсорбенты имеют диаметры 0,2 мм или менее и должны быть химически стойкими по отношению к растворам концентрированной соляной кислоты, а также достаточно прочны физически, с тем, чтобы их свойства не ухудшались в обменных колоннах. Смолы/абсорбенты специально предназначены для получения кинетики очень быстрого обмена изотопов урана (длительность полуобмена менее 10 с) и обладают возможностью работать при температуре в диапазоне от 100 °С до 200 °С</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99 150 0;</w:t>
            </w:r>
          </w:p>
          <w:p>
            <w:pPr>
              <w:jc w:val="left"/>
            </w:pPr>
            <w:r>
              <w:rPr>
                <w:rFonts w:ascii="Arial" w:cs="Arial" w:eastAsia="Arial" w:hAnsi="Arial"/>
                <w:sz w:val="24"/>
                <w:szCs w:val="24"/>
              </w:rPr>
              <w:t xml:space="preserve">3914 00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2.5.2.7.8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2.5.2.7.8.</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 (MLIS)</w:t>
            </w:r>
          </w:p>
          <w:p>
            <w:pPr>
              <w:jc w:val="left"/>
            </w:pPr>
            <w:r>
              <w:rPr>
                <w:rFonts w:ascii="Arial" w:cs="Arial" w:eastAsia="Arial" w:hAnsi="Arial"/>
                <w:sz w:val="24"/>
                <w:szCs w:val="24"/>
              </w:rPr>
              <w:t xml:space="preserve">Специально разработанные или подготовленные уплотнения вращающихся валов, установленные на стороне подачи и на стороне выхода для уплотнения вала, соединяющего ротор компрессора с приводным двигателем, с тем, чтобы обеспечить надежную герметизацию, предотвращающую выход технологического газа или натекание воздуха или уплотняющего газа во внутреннюю камеру компрессора, которая заполнена смесью UF</w:t>
            </w:r>
            <w:r>
              <w:rPr>
                <w:rFonts w:ascii="Arial" w:cs="Arial" w:eastAsia="Arial" w:hAnsi="Arial"/>
                <w:sz w:val="24"/>
                <w:szCs w:val="24"/>
              </w:rPr>
              <w:t xml:space="preserve">6</w:t>
            </w:r>
            <w:r>
              <w:rPr>
                <w:rFonts w:ascii="Arial" w:cs="Arial" w:eastAsia="Arial" w:hAnsi="Arial"/>
                <w:sz w:val="24"/>
                <w:szCs w:val="24"/>
              </w:rPr>
              <w:t xml:space="preserve"> и несущего газа</w:t>
            </w:r>
          </w:p>
        </w:tc>
        <w:tc>
          <w:tcPr>
            <w:tcW w:type="dxa" w:w="19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8484 10 000 9;</w:t>
            </w:r>
          </w:p>
          <w:p>
            <w:pPr>
              <w:jc w:val="both"/>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8487 90 800 0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2.5.2.7.10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5"/>
        <w:gridCol w:w="6960"/>
        <w:gridCol w:w="1913"/>
      </w:tblGrid>
      <w:tr>
        <w:tc>
          <w:tcPr>
            <w:tcW w:type="dxa" w:w="1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2.5.2.7.10.</w:t>
            </w:r>
          </w:p>
        </w:tc>
        <w:tc>
          <w:tcPr>
            <w:tcW w:type="dxa" w:w="69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UF</w:t>
            </w:r>
            <w:r>
              <w:rPr>
                <w:rFonts w:ascii="Arial" w:cs="Arial" w:eastAsia="Arial" w:hAnsi="Arial"/>
                <w:sz w:val="24"/>
                <w:szCs w:val="24"/>
              </w:rPr>
              <w:t xml:space="preserve">6</w:t>
            </w:r>
            <w:r>
              <w:rPr>
                <w:rFonts w:ascii="Arial" w:cs="Arial" w:eastAsia="Arial" w:hAnsi="Arial"/>
                <w:sz w:val="24"/>
                <w:szCs w:val="24"/>
              </w:rPr>
              <w:t xml:space="preserve"> (ML</w:t>
            </w:r>
            <w:r>
              <w:rPr>
                <w:rFonts w:ascii="Arial" w:cs="Arial" w:eastAsia="Arial" w:hAnsi="Arial"/>
                <w:sz w:val="24"/>
                <w:szCs w:val="24"/>
              </w:rPr>
              <w:t xml:space="preserve">I</w:t>
            </w:r>
            <w:r>
              <w:rPr>
                <w:rFonts w:ascii="Arial" w:cs="Arial" w:eastAsia="Arial" w:hAnsi="Arial"/>
                <w:sz w:val="24"/>
                <w:szCs w:val="24"/>
              </w:rPr>
              <w:t xml:space="preserve">S)</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2.5.2.8.1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2.5.2.8.1.</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источники энергии и антенны</w:t>
            </w:r>
          </w:p>
          <w:p>
            <w:pPr>
              <w:jc w:val="left"/>
            </w:pPr>
            <w:r>
              <w:rPr>
                <w:rFonts w:ascii="Arial" w:cs="Arial" w:eastAsia="Arial" w:hAnsi="Arial"/>
                <w:sz w:val="24"/>
                <w:szCs w:val="24"/>
              </w:rPr>
              <w:t xml:space="preserve">Специально разработанные или подготовленные микроволновые источники энергии и антенны для генерации или ускорения ионов и обладающие следующими характеристиками:</w:t>
            </w:r>
          </w:p>
          <w:p>
            <w:pPr>
              <w:jc w:val="left"/>
            </w:pPr>
            <w:r>
              <w:rPr>
                <w:rFonts w:ascii="Arial" w:cs="Arial" w:eastAsia="Arial" w:hAnsi="Arial"/>
                <w:sz w:val="24"/>
                <w:szCs w:val="24"/>
              </w:rPr>
              <w:t xml:space="preserve">а) частота выше 30 ГГц, и</w:t>
            </w:r>
          </w:p>
          <w:p>
            <w:pPr>
              <w:jc w:val="left"/>
            </w:pPr>
            <w:r>
              <w:rPr>
                <w:rFonts w:ascii="Arial" w:cs="Arial" w:eastAsia="Arial" w:hAnsi="Arial"/>
                <w:sz w:val="24"/>
                <w:szCs w:val="24"/>
              </w:rPr>
              <w:t xml:space="preserve">б) средняя выходная мощность для образования ионов более 50 кВт</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2.5.2.8.3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2.5.2.8.3.</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производства урановой плазмы</w:t>
            </w:r>
          </w:p>
          <w:p>
            <w:pPr>
              <w:jc w:val="left"/>
            </w:pPr>
            <w:r>
              <w:rPr>
                <w:rFonts w:ascii="Arial" w:cs="Arial" w:eastAsia="Arial" w:hAnsi="Arial"/>
                <w:sz w:val="24"/>
                <w:szCs w:val="24"/>
              </w:rPr>
              <w:t xml:space="preserve">Специально разработанные или подготовленные системы для производства урановой плазмы, которые могут содержать высокомощные пластиночные или растровые электроннолучевые пушки с передаваемой мощностью на мишень более 2,5 кВт/см</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80 900 0;</w:t>
            </w:r>
          </w:p>
          <w:p>
            <w:pPr>
              <w:jc w:val="left"/>
            </w:pPr>
            <w:r>
              <w:rPr>
                <w:rFonts w:ascii="Arial" w:cs="Arial" w:eastAsia="Arial" w:hAnsi="Arial"/>
                <w:sz w:val="24"/>
                <w:szCs w:val="24"/>
              </w:rPr>
              <w:t xml:space="preserve">8543 10 000 0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2.5.2.9.2.1.4, 2.5.2.9.2.2, 2.5.2.9.2.3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2.5.2.9.2.1.4.</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полюсные наконечники</w:t>
            </w:r>
          </w:p>
          <w:p>
            <w:pPr>
              <w:jc w:val="left"/>
            </w:pPr>
            <w:r>
              <w:rPr>
                <w:rFonts w:ascii="Arial" w:cs="Arial" w:eastAsia="Arial" w:hAnsi="Arial"/>
                <w:sz w:val="24"/>
                <w:szCs w:val="24"/>
              </w:rPr>
              <w:t xml:space="preserve">Специально разработанные или подготовленные магнитные полюсные наконечники, имеющие диаметр более 2 м, используемые для обеспечения постоянного магнитного поля в электромагнитном сепараторе изотопов и для переноса магнитного поля между расположенными рядом сепараторами</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8505 90 500 0</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2.5.2.9.2.2.</w:t>
            </w:r>
          </w:p>
        </w:tc>
        <w:tc>
          <w:tcPr>
            <w:tcW w:type="dxa" w:w="6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источники питания</w:t>
            </w:r>
          </w:p>
          <w:p>
            <w:pPr>
              <w:jc w:val="left"/>
            </w:pPr>
            <w:r>
              <w:rPr>
                <w:rFonts w:ascii="Arial" w:cs="Arial" w:eastAsia="Arial" w:hAnsi="Arial"/>
                <w:sz w:val="24"/>
                <w:szCs w:val="24"/>
              </w:rPr>
              <w:t xml:space="preserve">Специально разработанные или подготовленные высоковольтные источники питания для источников ионов, обладающие всеми следующими характеристиками:</w:t>
            </w:r>
          </w:p>
          <w:p>
            <w:pPr>
              <w:jc w:val="left"/>
            </w:pPr>
            <w:r>
              <w:rPr>
                <w:rFonts w:ascii="Arial" w:cs="Arial" w:eastAsia="Arial" w:hAnsi="Arial"/>
                <w:sz w:val="24"/>
                <w:szCs w:val="24"/>
              </w:rPr>
              <w:t xml:space="preserve">а) могут работать в непрерывном режиме;</w:t>
            </w:r>
          </w:p>
          <w:p>
            <w:pPr>
              <w:jc w:val="left"/>
            </w:pPr>
            <w:r>
              <w:rPr>
                <w:rFonts w:ascii="Arial" w:cs="Arial" w:eastAsia="Arial" w:hAnsi="Arial"/>
                <w:sz w:val="24"/>
                <w:szCs w:val="24"/>
              </w:rPr>
              <w:t xml:space="preserve">б) выходное напряжение 20000 В или более;</w:t>
            </w:r>
          </w:p>
          <w:p>
            <w:pPr>
              <w:jc w:val="left"/>
            </w:pPr>
            <w:r>
              <w:rPr>
                <w:rFonts w:ascii="Arial" w:cs="Arial" w:eastAsia="Arial" w:hAnsi="Arial"/>
                <w:sz w:val="24"/>
                <w:szCs w:val="24"/>
              </w:rPr>
              <w:t xml:space="preserve">в) выходной ток 1 А или более;</w:t>
            </w:r>
          </w:p>
          <w:p>
            <w:pPr>
              <w:jc w:val="left"/>
            </w:pPr>
            <w:r>
              <w:rPr>
                <w:rFonts w:ascii="Arial" w:cs="Arial" w:eastAsia="Arial" w:hAnsi="Arial"/>
                <w:sz w:val="24"/>
                <w:szCs w:val="24"/>
              </w:rPr>
              <w:t xml:space="preserve">г) стабилизация напряжения менее 0,01% в течение 8 часов</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8504 40 900 0</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2.5.2.9.2.3.</w:t>
            </w:r>
          </w:p>
        </w:tc>
        <w:tc>
          <w:tcPr>
            <w:tcW w:type="dxa" w:w="6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питания электромагнитов</w:t>
            </w:r>
          </w:p>
          <w:p>
            <w:pPr>
              <w:jc w:val="left"/>
            </w:pPr>
            <w:r>
              <w:rPr>
                <w:rFonts w:ascii="Arial" w:cs="Arial" w:eastAsia="Arial" w:hAnsi="Arial"/>
                <w:sz w:val="24"/>
                <w:szCs w:val="24"/>
              </w:rPr>
              <w:t xml:space="preserve">Специально разработанные или подготовленные мощные источники питания постоянного тока для электромагнитов, обладающие всеми следующими характеристиками:</w:t>
            </w:r>
          </w:p>
          <w:p>
            <w:pPr>
              <w:jc w:val="left"/>
            </w:pPr>
            <w:r>
              <w:rPr>
                <w:rFonts w:ascii="Arial" w:cs="Arial" w:eastAsia="Arial" w:hAnsi="Arial"/>
                <w:sz w:val="24"/>
                <w:szCs w:val="24"/>
              </w:rPr>
              <w:t xml:space="preserve">а) выходной ток в непрерывном режиме 500 А или более при напряжении 100 В или более;</w:t>
            </w:r>
          </w:p>
          <w:p>
            <w:pPr>
              <w:jc w:val="left"/>
            </w:pPr>
            <w:r>
              <w:rPr>
                <w:rFonts w:ascii="Arial" w:cs="Arial" w:eastAsia="Arial" w:hAnsi="Arial"/>
                <w:sz w:val="24"/>
                <w:szCs w:val="24"/>
              </w:rPr>
              <w:t xml:space="preserve">б) стабилизация по току или напряжению не хуже 0,01% в течение 8 часов</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2.6.2.7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52"/>
        <w:gridCol w:w="1950"/>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2.6.2.7.</w:t>
            </w:r>
          </w:p>
        </w:tc>
        <w:tc>
          <w:tcPr>
            <w:tcW w:type="dxa" w:w="69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Каталитические печи для переработки обогащенного дейтериевого газа в тяжелую воду, специально разработанные или подготовленные для производства тяжелой воды путем использования процесса изотопного обмена аммиака и водорода</w:t>
            </w:r>
          </w:p>
        </w:tc>
        <w:tc>
          <w:tcPr>
            <w:tcW w:type="dxa" w:w="19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8514 30 000 0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 Списке подлежащих экспортному контролю оборудования и материалов двойного назначения и соответствующих технологий, применяемых в ядерных целях:</w:t>
      </w:r>
    </w:p>
    <w:p>
      <w:pPr>
        <w:spacing w:after="60"/>
        <w:ind w:firstLine="567"/>
        <w:jc w:val="both"/>
      </w:pPr>
      <w:r>
        <w:rPr>
          <w:rFonts w:ascii="Arial" w:cs="Arial" w:eastAsia="Arial" w:hAnsi="Arial"/>
          <w:sz w:val="24"/>
          <w:szCs w:val="24"/>
        </w:rPr>
        <w:t xml:space="preserve">- в разделе 1</w:t>
      </w:r>
    </w:p>
    <w:p>
      <w:pPr>
        <w:spacing w:after="60"/>
        <w:ind w:firstLine="567"/>
        <w:jc w:val="both"/>
      </w:pPr>
      <w:r>
        <w:rPr>
          <w:rFonts w:ascii="Arial" w:cs="Arial" w:eastAsia="Arial" w:hAnsi="Arial"/>
          <w:sz w:val="24"/>
          <w:szCs w:val="24"/>
        </w:rPr>
        <w:t xml:space="preserve">пункт 1.1.1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0"/>
        <w:gridCol w:w="6978"/>
        <w:gridCol w:w="2040"/>
      </w:tblGrid>
      <w:tr>
        <w:tc>
          <w:tcPr>
            <w:tcW w:type="dxa" w:w="11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Высокоплотные (из свинцового стекла или из других материалов) окна радиационной защиты, имеющие все следующие характеристики, и специально разработанные рамы для них:</w:t>
            </w:r>
          </w:p>
          <w:p>
            <w:pPr>
              <w:jc w:val="left"/>
            </w:pPr>
            <w:r>
              <w:rPr>
                <w:rFonts w:ascii="Arial" w:cs="Arial" w:eastAsia="Arial" w:hAnsi="Arial"/>
                <w:sz w:val="24"/>
                <w:szCs w:val="24"/>
              </w:rPr>
              <w:t xml:space="preserve">а) площадь по "холодной поверхности" более 0,09 кв.м;</w:t>
            </w:r>
          </w:p>
          <w:p>
            <w:pPr>
              <w:jc w:val="left"/>
            </w:pPr>
            <w:r>
              <w:rPr>
                <w:rFonts w:ascii="Arial" w:cs="Arial" w:eastAsia="Arial" w:hAnsi="Arial"/>
                <w:sz w:val="24"/>
                <w:szCs w:val="24"/>
              </w:rPr>
              <w:t xml:space="preserve">б) плотность свыше 3 г/куб.см;</w:t>
            </w:r>
          </w:p>
          <w:p>
            <w:pPr>
              <w:jc w:val="left"/>
            </w:pPr>
            <w:r>
              <w:rPr>
                <w:rFonts w:ascii="Arial" w:cs="Arial" w:eastAsia="Arial" w:hAnsi="Arial"/>
                <w:sz w:val="24"/>
                <w:szCs w:val="24"/>
              </w:rPr>
              <w:t xml:space="preserve">в) толщину 100 мм или более</w:t>
            </w:r>
          </w:p>
        </w:tc>
        <w:tc>
          <w:tcPr>
            <w:tcW w:type="dxa" w:w="20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7003 19;</w:t>
            </w:r>
          </w:p>
          <w:p>
            <w:pPr>
              <w:jc w:val="left"/>
            </w:pPr>
            <w:r>
              <w:rPr>
                <w:rFonts w:ascii="Arial" w:cs="Arial" w:eastAsia="Arial" w:hAnsi="Arial"/>
                <w:sz w:val="24"/>
                <w:szCs w:val="24"/>
              </w:rPr>
              <w:t xml:space="preserve">7005 29 800 0;</w:t>
            </w:r>
          </w:p>
          <w:p>
            <w:pPr>
              <w:jc w:val="left"/>
            </w:pPr>
            <w:r>
              <w:rPr>
                <w:rFonts w:ascii="Arial" w:cs="Arial" w:eastAsia="Arial" w:hAnsi="Arial"/>
                <w:sz w:val="24"/>
                <w:szCs w:val="24"/>
              </w:rPr>
              <w:t xml:space="preserve">7006 00;</w:t>
            </w:r>
          </w:p>
          <w:p>
            <w:pPr>
              <w:jc w:val="left"/>
            </w:pPr>
            <w:r>
              <w:rPr>
                <w:rFonts w:ascii="Arial" w:cs="Arial" w:eastAsia="Arial" w:hAnsi="Arial"/>
                <w:sz w:val="24"/>
                <w:szCs w:val="24"/>
              </w:rPr>
              <w:t xml:space="preserve">7016 90 400 9;</w:t>
            </w:r>
          </w:p>
          <w:p>
            <w:pPr>
              <w:jc w:val="left"/>
            </w:pPr>
            <w:r>
              <w:rPr>
                <w:rFonts w:ascii="Arial" w:cs="Arial" w:eastAsia="Arial" w:hAnsi="Arial"/>
                <w:sz w:val="24"/>
                <w:szCs w:val="24"/>
              </w:rPr>
              <w:t xml:space="preserve">7308 30 000 0;</w:t>
            </w:r>
          </w:p>
          <w:p>
            <w:pPr>
              <w:jc w:val="left"/>
            </w:pPr>
            <w:r>
              <w:rPr>
                <w:rFonts w:ascii="Arial" w:cs="Arial" w:eastAsia="Arial" w:hAnsi="Arial"/>
                <w:sz w:val="24"/>
                <w:szCs w:val="24"/>
              </w:rPr>
              <w:t xml:space="preserve">9022 90 000 0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1.1.3.1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0"/>
        <w:gridCol w:w="6911"/>
        <w:gridCol w:w="2107"/>
      </w:tblGrid>
      <w:tr>
        <w:tc>
          <w:tcPr>
            <w:tcW w:type="dxa" w:w="11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69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или рабочие органы, имеющие любую из следующих характеристик:</w:t>
            </w:r>
          </w:p>
          <w:p>
            <w:pPr>
              <w:jc w:val="left"/>
            </w:pPr>
            <w:r>
              <w:rPr>
                <w:rFonts w:ascii="Arial" w:cs="Arial" w:eastAsia="Arial" w:hAnsi="Arial"/>
                <w:sz w:val="24"/>
                <w:szCs w:val="24"/>
              </w:rPr>
              <w:t xml:space="preserve">а) специально разработанные в соответствии со стандартами безопасности для работ с мощными взрывчатыми веществами во взрывоопасной среде (например, удовлетворяющие ограничениям на параметры электроаппаратуры, предназначенной для работы со взрывчатыми веществами во взрывоопасной среде); или</w:t>
            </w:r>
          </w:p>
          <w:p>
            <w:pPr>
              <w:jc w:val="left"/>
            </w:pPr>
            <w:r>
              <w:rPr>
                <w:rFonts w:ascii="Arial" w:cs="Arial" w:eastAsia="Arial" w:hAnsi="Arial"/>
                <w:sz w:val="24"/>
                <w:szCs w:val="24"/>
              </w:rPr>
              <w:t xml:space="preserve">б) специально разработанные или оцениваемые как радиационно-стойкие, чтобы выдерживать общую дозу радиации более 5 x104 Грей (кремний) без ухудшения рабочих характеристик</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90 900 0;</w:t>
            </w:r>
          </w:p>
          <w:p>
            <w:pPr>
              <w:jc w:val="left"/>
            </w:pPr>
            <w:r>
              <w:rPr>
                <w:rFonts w:ascii="Arial" w:cs="Arial" w:eastAsia="Arial" w:hAnsi="Arial"/>
                <w:sz w:val="24"/>
                <w:szCs w:val="24"/>
              </w:rPr>
              <w:t xml:space="preserve">8479 50 000 0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1.1.4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7028"/>
        <w:gridCol w:w="2106"/>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0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Дистанционные манипуляторы, которые могут быть использованы для обеспечения дистанционных действий в операциях радиохимического разделения или в горячих камерах, имеющие любую из следующих характеристик:</w:t>
            </w:r>
          </w:p>
          <w:p>
            <w:pPr>
              <w:jc w:val="left"/>
            </w:pPr>
            <w:r>
              <w:rPr>
                <w:rFonts w:ascii="Arial" w:cs="Arial" w:eastAsia="Arial" w:hAnsi="Arial"/>
                <w:sz w:val="24"/>
                <w:szCs w:val="24"/>
              </w:rPr>
              <w:t xml:space="preserve">а) способные передавать действия оператора сквозь стенку горячей камеры толщиной 0,6 м или более (операция "сквозь стенку"); или</w:t>
            </w:r>
          </w:p>
          <w:p>
            <w:pPr>
              <w:jc w:val="left"/>
            </w:pPr>
            <w:r>
              <w:rPr>
                <w:rFonts w:ascii="Arial" w:cs="Arial" w:eastAsia="Arial" w:hAnsi="Arial"/>
                <w:sz w:val="24"/>
                <w:szCs w:val="24"/>
              </w:rPr>
              <w:t xml:space="preserve">б) способные передавать действия оператора через крышку горячей камеры толщиной 0,6 м или более (операция "через крышку")</w:t>
            </w:r>
          </w:p>
        </w:tc>
        <w:tc>
          <w:tcPr>
            <w:tcW w:type="dxa" w:w="21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8428 90 900 0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1.2.1.2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7078"/>
        <w:gridCol w:w="2107"/>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Роторно-обкатные оправки, разработанные для формирования цилиндрических роторов с внутренним диаметром от 75 мм до 400 мм</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10 200 0;</w:t>
            </w:r>
          </w:p>
          <w:p>
            <w:pPr>
              <w:jc w:val="left"/>
            </w:pPr>
            <w:r>
              <w:rPr>
                <w:rFonts w:ascii="Arial" w:cs="Arial" w:eastAsia="Arial" w:hAnsi="Arial"/>
                <w:sz w:val="24"/>
                <w:szCs w:val="24"/>
              </w:rPr>
              <w:t xml:space="preserve">8466 20 200 0;</w:t>
            </w:r>
          </w:p>
          <w:p>
            <w:pPr>
              <w:jc w:val="left"/>
            </w:pPr>
            <w:r>
              <w:rPr>
                <w:rFonts w:ascii="Arial" w:cs="Arial" w:eastAsia="Arial" w:hAnsi="Arial"/>
                <w:sz w:val="24"/>
                <w:szCs w:val="24"/>
              </w:rPr>
              <w:t xml:space="preserve">8466 20 980 0;</w:t>
            </w:r>
          </w:p>
          <w:p>
            <w:pPr>
              <w:jc w:val="left"/>
            </w:pPr>
            <w:r>
              <w:rPr>
                <w:rFonts w:ascii="Arial" w:cs="Arial" w:eastAsia="Arial" w:hAnsi="Arial"/>
                <w:sz w:val="24"/>
                <w:szCs w:val="24"/>
              </w:rPr>
              <w:t xml:space="preserve">8486 90 100 0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1.2.2.3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7078"/>
        <w:gridCol w:w="2107"/>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7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шлифовальные, имеющие любую из следующих характеристик:</w:t>
            </w:r>
          </w:p>
          <w:p>
            <w:pPr>
              <w:jc w:val="left"/>
            </w:pPr>
            <w:r>
              <w:rPr>
                <w:rFonts w:ascii="Arial" w:cs="Arial" w:eastAsia="Arial" w:hAnsi="Arial"/>
                <w:sz w:val="24"/>
                <w:szCs w:val="24"/>
              </w:rPr>
              <w:t xml:space="preserve">а) точность позиционирования со всеми компенсационными возможностями лучше (меньше) 4 мкм в соответствии с международным стандартом ИСО 230/2 (1988) вдоль любой линейной оси (общий выбор пункта); или</w:t>
            </w:r>
          </w:p>
          <w:p>
            <w:pPr>
              <w:jc w:val="left"/>
            </w:pPr>
            <w:r>
              <w:rPr>
                <w:rFonts w:ascii="Arial" w:cs="Arial" w:eastAsia="Arial" w:hAnsi="Arial"/>
                <w:sz w:val="24"/>
                <w:szCs w:val="24"/>
              </w:rPr>
              <w:t xml:space="preserve">б) имеющие две или более горизонтальных поворотных оси;</w:t>
            </w:r>
          </w:p>
          <w:p>
            <w:pPr>
              <w:jc w:val="left"/>
            </w:pPr>
            <w:r>
              <w:rPr>
                <w:rFonts w:ascii="Arial" w:cs="Arial" w:eastAsia="Arial" w:hAnsi="Arial"/>
                <w:sz w:val="24"/>
                <w:szCs w:val="24"/>
              </w:rPr>
              <w:t xml:space="preserve">в) пять или более осей, которые могут быть совместно скоординированы для контурного управления</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 19 100 0;</w:t>
            </w:r>
          </w:p>
          <w:p>
            <w:pPr>
              <w:jc w:val="left"/>
            </w:pPr>
            <w:r>
              <w:rPr>
                <w:rFonts w:ascii="Arial" w:cs="Arial" w:eastAsia="Arial" w:hAnsi="Arial"/>
                <w:sz w:val="24"/>
                <w:szCs w:val="24"/>
              </w:rPr>
              <w:t xml:space="preserve">8460 22,</w:t>
            </w:r>
          </w:p>
          <w:p>
            <w:pPr>
              <w:jc w:val="left"/>
            </w:pPr>
            <w:r>
              <w:rPr>
                <w:rFonts w:ascii="Arial" w:cs="Arial" w:eastAsia="Arial" w:hAnsi="Arial"/>
                <w:sz w:val="24"/>
                <w:szCs w:val="24"/>
              </w:rPr>
              <w:t xml:space="preserve">8460 23,</w:t>
            </w:r>
          </w:p>
          <w:p>
            <w:pPr>
              <w:jc w:val="left"/>
            </w:pPr>
            <w:r>
              <w:rPr>
                <w:rFonts w:ascii="Arial" w:cs="Arial" w:eastAsia="Arial" w:hAnsi="Arial"/>
                <w:sz w:val="24"/>
                <w:szCs w:val="24"/>
              </w:rPr>
              <w:t xml:space="preserve">8460 24;</w:t>
            </w:r>
          </w:p>
          <w:p>
            <w:pPr>
              <w:jc w:val="left"/>
            </w:pPr>
            <w:r>
              <w:rPr>
                <w:rFonts w:ascii="Arial" w:cs="Arial" w:eastAsia="Arial" w:hAnsi="Arial"/>
                <w:sz w:val="24"/>
                <w:szCs w:val="24"/>
              </w:rPr>
              <w:t xml:space="preserve">8460 29;</w:t>
            </w:r>
          </w:p>
          <w:p>
            <w:pPr>
              <w:jc w:val="left"/>
            </w:pPr>
            <w:r>
              <w:rPr>
                <w:rFonts w:ascii="Arial" w:cs="Arial" w:eastAsia="Arial" w:hAnsi="Arial"/>
                <w:sz w:val="24"/>
                <w:szCs w:val="24"/>
              </w:rPr>
              <w:t xml:space="preserve">8464 20;</w:t>
            </w:r>
          </w:p>
          <w:p>
            <w:pPr>
              <w:jc w:val="left"/>
            </w:pPr>
            <w:r>
              <w:rPr>
                <w:rFonts w:ascii="Arial" w:cs="Arial" w:eastAsia="Arial" w:hAnsi="Arial"/>
                <w:sz w:val="24"/>
                <w:szCs w:val="24"/>
              </w:rPr>
              <w:t xml:space="preserve">8465 93 000 0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1.2.5.1 изложить з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7104"/>
        <w:gridCol w:w="2029"/>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7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имеющие обе следующие характеристики:</w:t>
            </w:r>
          </w:p>
          <w:p>
            <w:pPr>
              <w:jc w:val="left"/>
            </w:pPr>
            <w:r>
              <w:rPr>
                <w:rFonts w:ascii="Arial" w:cs="Arial" w:eastAsia="Arial" w:hAnsi="Arial"/>
                <w:sz w:val="24"/>
                <w:szCs w:val="24"/>
              </w:rPr>
              <w:t xml:space="preserve">а) способные развивать максимальное рабочее давление 69 МПа и более; и</w:t>
            </w:r>
          </w:p>
          <w:p>
            <w:pPr>
              <w:jc w:val="left"/>
            </w:pPr>
            <w:r>
              <w:rPr>
                <w:rFonts w:ascii="Arial" w:cs="Arial" w:eastAsia="Arial" w:hAnsi="Arial"/>
                <w:sz w:val="24"/>
                <w:szCs w:val="24"/>
              </w:rPr>
              <w:t xml:space="preserve">б) имеющие внутренний диаметр рабочей камеры более 152 мм</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99 200 1;</w:t>
            </w:r>
          </w:p>
          <w:p>
            <w:pPr>
              <w:jc w:val="left"/>
            </w:pPr>
            <w:r>
              <w:rPr>
                <w:rFonts w:ascii="Arial" w:cs="Arial" w:eastAsia="Arial" w:hAnsi="Arial"/>
                <w:sz w:val="24"/>
                <w:szCs w:val="24"/>
              </w:rPr>
              <w:t xml:space="preserve">8462 99 800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1.2.7.1 и 1.2.7.2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7104"/>
        <w:gridCol w:w="2029"/>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7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электродугового переплава или литья, имеющие обе следующие характеристики:</w:t>
            </w:r>
          </w:p>
          <w:p>
            <w:pPr>
              <w:jc w:val="left"/>
            </w:pPr>
            <w:r>
              <w:rPr>
                <w:rFonts w:ascii="Arial" w:cs="Arial" w:eastAsia="Arial" w:hAnsi="Arial"/>
                <w:sz w:val="24"/>
                <w:szCs w:val="24"/>
              </w:rPr>
              <w:t xml:space="preserve">а) расходуемые электроды объемом от 1000 куб.см до 20000 куб.см; и б) обеспечивающие процесс при температуре плавления свыше 1973 К (1700 °С)</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8514 30 000 0</w:t>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7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Электронно-лучевые плавильные печи и печи плазменной атомизации и плавления, имеющие обе следующие характеристики:</w:t>
            </w:r>
          </w:p>
          <w:p>
            <w:pPr>
              <w:jc w:val="left"/>
            </w:pPr>
            <w:r>
              <w:rPr>
                <w:rFonts w:ascii="Arial" w:cs="Arial" w:eastAsia="Arial" w:hAnsi="Arial"/>
                <w:sz w:val="24"/>
                <w:szCs w:val="24"/>
              </w:rPr>
              <w:t xml:space="preserve">а) мощность 50 кВт или более; и</w:t>
            </w:r>
          </w:p>
          <w:p>
            <w:pPr>
              <w:jc w:val="left"/>
            </w:pPr>
            <w:r>
              <w:rPr>
                <w:rFonts w:ascii="Arial" w:cs="Arial" w:eastAsia="Arial" w:hAnsi="Arial"/>
                <w:sz w:val="24"/>
                <w:szCs w:val="24"/>
              </w:rPr>
              <w:t xml:space="preserve">б) обеспечивающие процесс при температуре плавления свыше 1473 К (1200 °С)</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8514 30 000 0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2:</w:t>
      </w:r>
    </w:p>
    <w:p>
      <w:pPr>
        <w:spacing w:after="60"/>
        <w:ind w:firstLine="567"/>
        <w:jc w:val="both"/>
      </w:pPr>
      <w:r>
        <w:rPr>
          <w:rFonts w:ascii="Arial" w:cs="Arial" w:eastAsia="Arial" w:hAnsi="Arial"/>
          <w:sz w:val="24"/>
          <w:szCs w:val="24"/>
        </w:rPr>
        <w:t xml:space="preserve">пункт 2.1.3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5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структуры в форме труб, имеющие обе следующие характеристики:</w:t>
            </w:r>
          </w:p>
          <w:p>
            <w:pPr>
              <w:jc w:val="left"/>
            </w:pPr>
            <w:r>
              <w:rPr>
                <w:rFonts w:ascii="Arial" w:cs="Arial" w:eastAsia="Arial" w:hAnsi="Arial"/>
                <w:sz w:val="24"/>
                <w:szCs w:val="24"/>
              </w:rPr>
              <w:t xml:space="preserve">а) внутренний диаметр от 75 мм до 400 мм; и</w:t>
            </w:r>
          </w:p>
          <w:p>
            <w:pPr>
              <w:jc w:val="left"/>
            </w:pPr>
            <w:r>
              <w:rPr>
                <w:rFonts w:ascii="Arial" w:cs="Arial" w:eastAsia="Arial" w:hAnsi="Arial"/>
                <w:sz w:val="24"/>
                <w:szCs w:val="24"/>
              </w:rPr>
              <w:t xml:space="preserve">б) изготовленные из любых волокнистых или нитевидных материалов, указанных в пункте 2.3.7.1, или из углеродных импрегнированных материалов, указанных в пункте 2.3.7.3</w:t>
            </w:r>
          </w:p>
        </w:tc>
        <w:tc>
          <w:tcPr>
            <w:tcW w:type="dxa" w:w="25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10 900 8;</w:t>
            </w:r>
          </w:p>
          <w:p>
            <w:pPr>
              <w:jc w:val="left"/>
            </w:pPr>
            <w:r>
              <w:rPr>
                <w:rFonts w:ascii="Arial" w:cs="Arial" w:eastAsia="Arial" w:hAnsi="Arial"/>
                <w:sz w:val="24"/>
                <w:szCs w:val="24"/>
              </w:rPr>
              <w:t xml:space="preserve">6815 99 000 9;</w:t>
            </w:r>
          </w:p>
          <w:p>
            <w:pPr>
              <w:jc w:val="left"/>
            </w:pPr>
            <w:r>
              <w:rPr>
                <w:rFonts w:ascii="Arial" w:cs="Arial" w:eastAsia="Arial" w:hAnsi="Arial"/>
                <w:sz w:val="24"/>
                <w:szCs w:val="24"/>
              </w:rPr>
              <w:t xml:space="preserve">7019 19</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2.2.2.2.2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7028"/>
        <w:gridCol w:w="2106"/>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2.2.2.2.2.</w:t>
            </w:r>
          </w:p>
        </w:tc>
        <w:tc>
          <w:tcPr>
            <w:tcW w:type="dxa" w:w="70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для ртути или амальгам лития</w:t>
            </w:r>
          </w:p>
        </w:tc>
        <w:tc>
          <w:tcPr>
            <w:tcW w:type="dxa" w:w="21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50 800 0;</w:t>
            </w:r>
          </w:p>
          <w:p>
            <w:pPr>
              <w:jc w:val="left"/>
            </w:pPr>
            <w:r>
              <w:rPr>
                <w:rFonts w:ascii="Arial" w:cs="Arial" w:eastAsia="Arial" w:hAnsi="Arial"/>
                <w:sz w:val="24"/>
                <w:szCs w:val="24"/>
              </w:rPr>
              <w:t xml:space="preserve">8413 60 800 0;</w:t>
            </w:r>
          </w:p>
          <w:p>
            <w:pPr>
              <w:jc w:val="left"/>
            </w:pPr>
            <w:r>
              <w:rPr>
                <w:rFonts w:ascii="Arial" w:cs="Arial" w:eastAsia="Arial" w:hAnsi="Arial"/>
                <w:sz w:val="24"/>
                <w:szCs w:val="24"/>
              </w:rPr>
              <w:t xml:space="preserve">8413 70 810 0;</w:t>
            </w:r>
          </w:p>
          <w:p>
            <w:pPr>
              <w:jc w:val="left"/>
            </w:pPr>
            <w:r>
              <w:rPr>
                <w:rFonts w:ascii="Arial" w:cs="Arial" w:eastAsia="Arial" w:hAnsi="Arial"/>
                <w:sz w:val="24"/>
                <w:szCs w:val="24"/>
              </w:rPr>
              <w:t xml:space="preserve">8413 70 890 0;</w:t>
            </w:r>
          </w:p>
          <w:p>
            <w:pPr>
              <w:jc w:val="left"/>
            </w:pPr>
            <w:r>
              <w:rPr>
                <w:rFonts w:ascii="Arial" w:cs="Arial" w:eastAsia="Arial" w:hAnsi="Arial"/>
                <w:sz w:val="24"/>
                <w:szCs w:val="24"/>
              </w:rPr>
              <w:t xml:space="preserve">8413 81 000 0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2.2.2.2.4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2.2.2.2.4.</w:t>
            </w:r>
          </w:p>
        </w:tc>
        <w:tc>
          <w:tcPr>
            <w:tcW w:type="dxa" w:w="25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Испарители для концентрированного раствора гидрооксида лития</w:t>
            </w:r>
          </w:p>
        </w:tc>
        <w:tc>
          <w:tcPr>
            <w:tcW w:type="dxa" w:w="25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8419 39 000 2;</w:t>
            </w:r>
          </w:p>
          <w:p>
            <w:pPr>
              <w:jc w:val="left"/>
            </w:pPr>
            <w:r>
              <w:rPr>
                <w:rFonts w:ascii="Arial" w:cs="Arial" w:eastAsia="Arial" w:hAnsi="Arial"/>
                <w:sz w:val="24"/>
                <w:szCs w:val="24"/>
              </w:rPr>
              <w:t xml:space="preserve">8419 39 000 9</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2.3.2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6986"/>
        <w:gridCol w:w="2148"/>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69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металлический, сплавы, содержащие более 50% бериллия по весу, соединения бериллия и изделия из них, а также отходы и лом, содержащие бериллий в вышеописанном виде</w:t>
            </w:r>
          </w:p>
        </w:tc>
        <w:tc>
          <w:tcPr>
            <w:tcW w:type="dxa" w:w="2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90 200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2833 29 800 0;</w:t>
            </w:r>
          </w:p>
          <w:p>
            <w:pPr>
              <w:jc w:val="left"/>
            </w:pPr>
            <w:r>
              <w:rPr>
                <w:rFonts w:ascii="Arial" w:cs="Arial" w:eastAsia="Arial" w:hAnsi="Arial"/>
                <w:sz w:val="24"/>
                <w:szCs w:val="24"/>
              </w:rPr>
              <w:t xml:space="preserve">2834 29 200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2850 00 900 0;</w:t>
            </w:r>
          </w:p>
          <w:p>
            <w:pPr>
              <w:jc w:val="left"/>
            </w:pPr>
            <w:r>
              <w:rPr>
                <w:rFonts w:ascii="Arial" w:cs="Arial" w:eastAsia="Arial" w:hAnsi="Arial"/>
                <w:sz w:val="24"/>
                <w:szCs w:val="24"/>
              </w:rPr>
              <w:t xml:space="preserve">8112 12 000 0;</w:t>
            </w:r>
          </w:p>
          <w:p>
            <w:pPr>
              <w:jc w:val="left"/>
            </w:pPr>
            <w:r>
              <w:rPr>
                <w:rFonts w:ascii="Arial" w:cs="Arial" w:eastAsia="Arial" w:hAnsi="Arial"/>
                <w:sz w:val="24"/>
                <w:szCs w:val="24"/>
              </w:rPr>
              <w:t xml:space="preserve">8112 13 000 0;</w:t>
            </w:r>
          </w:p>
          <w:p>
            <w:pPr>
              <w:jc w:val="left"/>
            </w:pPr>
            <w:r>
              <w:rPr>
                <w:rFonts w:ascii="Arial" w:cs="Arial" w:eastAsia="Arial" w:hAnsi="Arial"/>
                <w:sz w:val="24"/>
                <w:szCs w:val="24"/>
              </w:rPr>
              <w:t xml:space="preserve">8112 19 000 0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2.3.7.3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7037"/>
        <w:gridCol w:w="2148"/>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2.3.7.3.</w:t>
            </w:r>
          </w:p>
        </w:tc>
        <w:tc>
          <w:tcPr>
            <w:tcW w:type="dxa" w:w="70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tc>
        <w:tc>
          <w:tcPr>
            <w:tcW w:type="dxa" w:w="2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3916;</w:t>
            </w:r>
          </w:p>
          <w:p>
            <w:pPr>
              <w:jc w:val="left"/>
            </w:pPr>
            <w:r>
              <w:rPr>
                <w:rFonts w:ascii="Arial" w:cs="Arial" w:eastAsia="Arial" w:hAnsi="Arial"/>
                <w:sz w:val="24"/>
                <w:szCs w:val="24"/>
              </w:rPr>
              <w:t xml:space="preserve">3920;</w:t>
            </w:r>
          </w:p>
          <w:p>
            <w:pPr>
              <w:jc w:val="left"/>
            </w:pPr>
            <w:r>
              <w:rPr>
                <w:rFonts w:ascii="Arial" w:cs="Arial" w:eastAsia="Arial" w:hAnsi="Arial"/>
                <w:sz w:val="24"/>
                <w:szCs w:val="24"/>
              </w:rPr>
              <w:t xml:space="preserve">3921;</w:t>
            </w:r>
          </w:p>
          <w:p>
            <w:pPr>
              <w:jc w:val="left"/>
            </w:pPr>
            <w:r>
              <w:rPr>
                <w:rFonts w:ascii="Arial" w:cs="Arial" w:eastAsia="Arial" w:hAnsi="Arial"/>
                <w:sz w:val="24"/>
                <w:szCs w:val="24"/>
              </w:rPr>
              <w:t xml:space="preserve">5604 90 100 0;</w:t>
            </w:r>
          </w:p>
          <w:p>
            <w:pPr>
              <w:jc w:val="left"/>
            </w:pPr>
            <w:r>
              <w:rPr>
                <w:rFonts w:ascii="Arial" w:cs="Arial" w:eastAsia="Arial" w:hAnsi="Arial"/>
                <w:sz w:val="24"/>
                <w:szCs w:val="24"/>
              </w:rPr>
              <w:t xml:space="preserve">5604 90 900 0;</w:t>
            </w:r>
          </w:p>
          <w:p>
            <w:pPr>
              <w:jc w:val="left"/>
            </w:pPr>
            <w:r>
              <w:rPr>
                <w:rFonts w:ascii="Arial" w:cs="Arial" w:eastAsia="Arial" w:hAnsi="Arial"/>
                <w:sz w:val="24"/>
                <w:szCs w:val="24"/>
              </w:rPr>
              <w:t xml:space="preserve">5607 50 110 0;</w:t>
            </w:r>
          </w:p>
          <w:p>
            <w:pPr>
              <w:jc w:val="left"/>
            </w:pPr>
            <w:r>
              <w:rPr>
                <w:rFonts w:ascii="Arial" w:cs="Arial" w:eastAsia="Arial" w:hAnsi="Arial"/>
                <w:sz w:val="24"/>
                <w:szCs w:val="24"/>
              </w:rPr>
              <w:t xml:space="preserve">6815 10 100 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7019 19 900 9</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2.3.8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6986"/>
        <w:gridCol w:w="2148"/>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69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Гафний металлический, сплавы и соединения, содержащие более 60% гафния по весу, изделия из них, а также отходы и лом, содержащие гафний в вышеописанном виде</w:t>
            </w:r>
          </w:p>
        </w:tc>
        <w:tc>
          <w:tcPr>
            <w:tcW w:type="dxa" w:w="2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90 850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2826 90 800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2827 49 900 0;</w:t>
            </w:r>
          </w:p>
          <w:p>
            <w:pPr>
              <w:jc w:val="left"/>
            </w:pPr>
            <w:r>
              <w:rPr>
                <w:rFonts w:ascii="Arial" w:cs="Arial" w:eastAsia="Arial" w:hAnsi="Arial"/>
                <w:sz w:val="24"/>
                <w:szCs w:val="24"/>
              </w:rPr>
              <w:t xml:space="preserve">2827 60 000 0;</w:t>
            </w:r>
          </w:p>
          <w:p>
            <w:pPr>
              <w:jc w:val="left"/>
            </w:pPr>
            <w:r>
              <w:rPr>
                <w:rFonts w:ascii="Arial" w:cs="Arial" w:eastAsia="Arial" w:hAnsi="Arial"/>
                <w:sz w:val="24"/>
                <w:szCs w:val="24"/>
              </w:rPr>
              <w:t xml:space="preserve">2833 29 200 0;</w:t>
            </w:r>
          </w:p>
          <w:p>
            <w:pPr>
              <w:jc w:val="left"/>
            </w:pPr>
            <w:r>
              <w:rPr>
                <w:rFonts w:ascii="Arial" w:cs="Arial" w:eastAsia="Arial" w:hAnsi="Arial"/>
                <w:sz w:val="24"/>
                <w:szCs w:val="24"/>
              </w:rPr>
              <w:t xml:space="preserve">2833 29 300 0;</w:t>
            </w:r>
          </w:p>
          <w:p>
            <w:pPr>
              <w:jc w:val="left"/>
            </w:pPr>
            <w:r>
              <w:rPr>
                <w:rFonts w:ascii="Arial" w:cs="Arial" w:eastAsia="Arial" w:hAnsi="Arial"/>
                <w:sz w:val="24"/>
                <w:szCs w:val="24"/>
              </w:rPr>
              <w:t xml:space="preserve">2833 29 600 0;</w:t>
            </w:r>
          </w:p>
          <w:p>
            <w:pPr>
              <w:jc w:val="left"/>
            </w:pPr>
            <w:r>
              <w:rPr>
                <w:rFonts w:ascii="Arial" w:cs="Arial" w:eastAsia="Arial" w:hAnsi="Arial"/>
                <w:sz w:val="24"/>
                <w:szCs w:val="24"/>
              </w:rPr>
              <w:t xml:space="preserve">2833 29 800 0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2.3.15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6870"/>
        <w:gridCol w:w="2264"/>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68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с содержанием гафния менее чем 1 часть гафния на 500 частей циркония по весу в виде металла, сплавов, содержащих более 50% циркония по весу, соединений, изделий из них, а также отходы и лом, содержащие цирконий в вышеописанном виде</w:t>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60 000 0;</w:t>
            </w:r>
          </w:p>
          <w:p>
            <w:pPr>
              <w:jc w:val="left"/>
            </w:pPr>
            <w:r>
              <w:rPr>
                <w:rFonts w:ascii="Arial" w:cs="Arial" w:eastAsia="Arial" w:hAnsi="Arial"/>
                <w:sz w:val="24"/>
                <w:szCs w:val="24"/>
              </w:rPr>
              <w:t xml:space="preserve">2825 90 800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2825 90;</w:t>
            </w:r>
          </w:p>
          <w:p>
            <w:pPr>
              <w:jc w:val="left"/>
            </w:pPr>
            <w:r>
              <w:rPr>
                <w:rFonts w:ascii="Arial" w:cs="Arial" w:eastAsia="Arial" w:hAnsi="Arial"/>
                <w:sz w:val="24"/>
                <w:szCs w:val="24"/>
              </w:rPr>
              <w:t xml:space="preserve">2833 29 900 0;</w:t>
            </w:r>
          </w:p>
          <w:p>
            <w:pPr>
              <w:jc w:val="left"/>
            </w:pPr>
            <w:r>
              <w:rPr>
                <w:rFonts w:ascii="Arial" w:cs="Arial" w:eastAsia="Arial" w:hAnsi="Arial"/>
                <w:sz w:val="24"/>
                <w:szCs w:val="24"/>
              </w:rPr>
              <w:t xml:space="preserve">2834 29 800 0;</w:t>
            </w:r>
          </w:p>
          <w:p>
            <w:pPr>
              <w:jc w:val="left"/>
            </w:pPr>
            <w:r>
              <w:rPr>
                <w:rFonts w:ascii="Arial" w:cs="Arial" w:eastAsia="Arial" w:hAnsi="Arial"/>
                <w:sz w:val="24"/>
                <w:szCs w:val="24"/>
              </w:rPr>
              <w:t xml:space="preserve">2835 29 900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2839 90 000 0;</w:t>
            </w:r>
          </w:p>
          <w:p>
            <w:pPr>
              <w:jc w:val="left"/>
            </w:pPr>
            <w:r>
              <w:rPr>
                <w:rFonts w:ascii="Arial" w:cs="Arial" w:eastAsia="Arial" w:hAnsi="Arial"/>
                <w:sz w:val="24"/>
                <w:szCs w:val="24"/>
              </w:rPr>
              <w:t xml:space="preserve">2841 90 850 0;</w:t>
            </w:r>
          </w:p>
          <w:p>
            <w:pPr>
              <w:jc w:val="left"/>
            </w:pPr>
            <w:r>
              <w:rPr>
                <w:rFonts w:ascii="Arial" w:cs="Arial" w:eastAsia="Arial" w:hAnsi="Arial"/>
                <w:sz w:val="24"/>
                <w:szCs w:val="24"/>
              </w:rPr>
              <w:t xml:space="preserve">2849 90 900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2850 00 900 0;</w:t>
            </w:r>
          </w:p>
          <w:p>
            <w:pPr>
              <w:jc w:val="left"/>
            </w:pPr>
            <w:r>
              <w:rPr>
                <w:rFonts w:ascii="Arial" w:cs="Arial" w:eastAsia="Arial" w:hAnsi="Arial"/>
                <w:sz w:val="24"/>
                <w:szCs w:val="24"/>
              </w:rPr>
              <w:t xml:space="preserve">2915 29 000 0;</w:t>
            </w:r>
          </w:p>
          <w:p>
            <w:pPr>
              <w:jc w:val="left"/>
            </w:pPr>
            <w:r>
              <w:rPr>
                <w:rFonts w:ascii="Arial" w:cs="Arial" w:eastAsia="Arial" w:hAnsi="Arial"/>
                <w:sz w:val="24"/>
                <w:szCs w:val="24"/>
              </w:rPr>
              <w:t xml:space="preserve">7202 99 800 0;</w:t>
            </w:r>
          </w:p>
          <w:p>
            <w:pPr>
              <w:jc w:val="left"/>
            </w:pPr>
            <w:r>
              <w:rPr>
                <w:rFonts w:ascii="Arial" w:cs="Arial" w:eastAsia="Arial" w:hAnsi="Arial"/>
                <w:sz w:val="24"/>
                <w:szCs w:val="24"/>
              </w:rPr>
              <w:t xml:space="preserve">8109</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5:</w:t>
      </w:r>
    </w:p>
    <w:p>
      <w:pPr>
        <w:spacing w:after="60"/>
        <w:ind w:firstLine="567"/>
        <w:jc w:val="both"/>
      </w:pPr>
      <w:r>
        <w:rPr>
          <w:rFonts w:ascii="Arial" w:cs="Arial" w:eastAsia="Arial" w:hAnsi="Arial"/>
          <w:sz w:val="24"/>
          <w:szCs w:val="24"/>
        </w:rPr>
        <w:t xml:space="preserve">пункт 5.2.5.1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6921"/>
        <w:gridCol w:w="2264"/>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5.2.5.1.</w:t>
            </w:r>
          </w:p>
        </w:tc>
        <w:tc>
          <w:tcPr>
            <w:tcW w:type="dxa" w:w="69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Интерферометры для измерения скоростей, превышающих 1 км/с при временных интервалах менее 10 мкс</w:t>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9013 20 000 0;</w:t>
            </w:r>
          </w:p>
          <w:p>
            <w:pPr>
              <w:jc w:val="left"/>
            </w:pPr>
            <w:r>
              <w:rPr>
                <w:rFonts w:ascii="Arial" w:cs="Arial" w:eastAsia="Arial" w:hAnsi="Arial"/>
                <w:sz w:val="24"/>
                <w:szCs w:val="24"/>
              </w:rPr>
              <w:t xml:space="preserve">9026 80 200 9;</w:t>
            </w:r>
          </w:p>
          <w:p>
            <w:pPr>
              <w:jc w:val="left"/>
            </w:pPr>
            <w:r>
              <w:rPr>
                <w:rFonts w:ascii="Arial" w:cs="Arial" w:eastAsia="Arial" w:hAnsi="Arial"/>
                <w:sz w:val="24"/>
                <w:szCs w:val="24"/>
              </w:rPr>
              <w:t xml:space="preserve">9031 80 980 0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5.2.5.2 и 5.2.5.3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6921"/>
        <w:gridCol w:w="2264"/>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5.2.5.2.</w:t>
            </w:r>
          </w:p>
        </w:tc>
        <w:tc>
          <w:tcPr>
            <w:tcW w:type="dxa" w:w="69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Манганиновые датчики для давления более 10 ГПа</w:t>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9026 20 200;</w:t>
            </w:r>
          </w:p>
          <w:p>
            <w:pPr>
              <w:jc w:val="left"/>
            </w:pPr>
            <w:r>
              <w:rPr>
                <w:rFonts w:ascii="Arial" w:cs="Arial" w:eastAsia="Arial" w:hAnsi="Arial"/>
                <w:sz w:val="24"/>
                <w:szCs w:val="24"/>
              </w:rPr>
              <w:t xml:space="preserve">9026 90 000 9</w:t>
            </w:r>
          </w:p>
        </w:tc>
      </w:tr>
      <w:tr>
        <w:tc>
          <w:tcPr>
            <w:tcW w:type="dxa" w:w="9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5.2.5.3.</w:t>
            </w:r>
          </w:p>
        </w:tc>
        <w:tc>
          <w:tcPr>
            <w:tcW w:type="dxa" w:w="6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Кварцевые преобразователи, для давления более 10 ГПа</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9026 20 200;</w:t>
            </w:r>
          </w:p>
          <w:p>
            <w:pPr>
              <w:jc w:val="left"/>
            </w:pPr>
            <w:r>
              <w:rPr>
                <w:rFonts w:ascii="Arial" w:cs="Arial" w:eastAsia="Arial" w:hAnsi="Arial"/>
                <w:sz w:val="24"/>
                <w:szCs w:val="24"/>
              </w:rPr>
              <w:t xml:space="preserve">9026 90 000 9</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6.1.1.2 раздела 6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6921"/>
        <w:gridCol w:w="2264"/>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w:t>
            </w:r>
          </w:p>
        </w:tc>
        <w:tc>
          <w:tcPr>
            <w:tcW w:type="dxa" w:w="69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использующие один или несколько детонаторов, разработанные для почти одновременного инициирования взрывчатого вещества (далее именуется - ВВ) на поверхности (более 5000 кв.мм) по единичному запускающему</w:t>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tc>
      </w:tr>
    </w:tbl>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4jpwj-nuhxrcu7nhvpb_">
      <w:r>
        <w:rPr>
          <w:rFonts w:ascii="Arial" w:cs="Arial" w:eastAsia="Arial" w:hAnsi="Arial"/>
          <w:color w:val="132D3F"/>
          <w:sz w:val="16"/>
          <w:szCs w:val="16"/>
          <w:u w:val="single"/>
        </w:rPr>
        <w:t xml:space="preserve">dalil.kg/document/98989</w:t>
      </w:r>
    </w:hyperlink>
  </w:p>
  <w:p>
    <w:pPr>
      <w:spacing w:after="0" w:before="40"/>
      <w:jc w:val="center"/>
    </w:pPr>
    <w:hyperlink w:history="1" r:id="rId3y2hqhe5myci2nqun71r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qajtrxqbqr-_f8_dtbg" Type="http://schemas.openxmlformats.org/officeDocument/2006/relationships/hyperlink" Target="https://dalil.kg/document/160066" TargetMode="External"/><Relationship Id="rId9jr8ghb7ar3_daqcr8u4u" Type="http://schemas.openxmlformats.org/officeDocument/2006/relationships/hyperlink" Target="https://dalil.kg/document/203685" TargetMode="External"/><Relationship Id="rIdpudrcfvvm_ssdsq-gsbmv" Type="http://schemas.openxmlformats.org/officeDocument/2006/relationships/hyperlink" Target="https://dalil.kg/document/96280" TargetMode="External"/><Relationship Id="rIdf1fk5-ysjp1ckztyvst_b" Type="http://schemas.openxmlformats.org/officeDocument/2006/relationships/hyperlink" Target="https://dalil.kg/document/98989#p1" TargetMode="External"/><Relationship Id="rId75rnsiuwo4m3z9ms6s0ol" Type="http://schemas.openxmlformats.org/officeDocument/2006/relationships/hyperlink" Target="https://dalil.kg/document/9628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4jpwj-nuhxrcu7nhvpb_" Type="http://schemas.openxmlformats.org/officeDocument/2006/relationships/hyperlink" Target="https://dalil.kg/document/98989" TargetMode="External"/><Relationship Id="rId3y2hqhe5myci2nqun71r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2026-09-23T17:19:46.225Z</dcterms:created>
  <dcterms:modified xsi:type="dcterms:W3CDTF">2026-09-23T17:19:46.226Z</dcterms:modified>
</cp:coreProperties>
</file>

<file path=docProps/custom.xml><?xml version="1.0" encoding="utf-8"?>
<Properties xmlns="http://schemas.openxmlformats.org/officeDocument/2006/custom-properties" xmlns:vt="http://schemas.openxmlformats.org/officeDocument/2006/docPropsVTypes"/>
</file>