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приема и распределения гуманитарной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q0st3lrx9q4bzqbvqr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12gevalvqytbrrpxm-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s-csgp6rlx8z0xo1num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215, </w:t>
        </w:r>
      </w:hyperlink>
      <w:hyperlink w:history="1" r:id="rId_9g0tomgne9ghga8kxu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порядка приема, учета и распределения гуманитарной помощи, поступающей в Кыргызскую Республику. Юридические и физические лица, международные организации, их филиалы и представительства, получающие гуманитарную помощь, в своей деятельности руководствуются </w:t>
      </w:r>
      <w:hyperlink w:history="1" r:id="rIddsnd1xshdaqy7xtbg37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вступившими в установленном законом порядке в силу международными договорами о гуманитарной помощи, участницей которых является Кыргызская Республика,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труда и социального развития Кыргызской Республики осуществляет координацию порядка приема и учета распределения гуманитарной помощи,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Регистрация получателей гуманитарной помощи, получивших от уполномоченного государственного органа в сфере труда и социального развития заключение о гуманитарном характере груза, производится в Корпоративной информационной системе социальной помощи (КИССП) и информация о полученной ими гуманитарной помощи размещается на официальном сайте уполномоченного государственного органа в сфере труда и социального развития Кыргызской Республики, за исключением помощи, поступающей в адрес Вооруженных Сил Кыргызской Республики, правоохранительных органов, органов национальной безопасности и иных воинских формирований, имеющих соответствующий ограничительный гриф.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dzgtyohy1vfq0l_h1t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активы, безвозмездно предоставляемые государствами, организациями Кабинету Министров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быта, досуга, культурного просвещения и физического здоровья населения, а также предупреждения и ликвидации последствий чрезвычайных ситуаций природного, биолого-социального, конфликтного, экологического и техногенного характера, при условии их дальнейшего потребления и/или безвозмездного распределения, а также удовлетворения потребностей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отправитель гуманитарной помощи (донор)</w:t>
      </w:r>
      <w:r>
        <w:rPr>
          <w:rFonts w:ascii="Arial" w:cs="Arial" w:eastAsia="Arial" w:hAnsi="Arial"/>
          <w:sz w:val="24"/>
          <w:szCs w:val="24"/>
        </w:rPr>
        <w:t xml:space="preserve"> - иностранные государства, их органы, иностранные организации и учреждения, иностранные граждане (физические лица) и международные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Правительство Кыргызской Республики, органы местного самоуправления, государственные, некоммерческие организации, а также нуждающиеся физические лица Кыргызской Республики, международные донорские организации и их представительства и филиалы, в чей адрес поступает гуманитарная помощь, для дальнейшего ее распределения;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 Кыргызской Республики, являющиеся непосредственными пользователями гуманитарной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qxbosrkwyihma4f4lo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Гуманитарная помощь, поступившая на территорию Кыргызской Республики, до передачи ее потребителю является собственностью донора.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Таможенные операции в отношении гуманитарной помощи совершаются в порядке, определяемом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Ввозимые на территорию Кыргызской Республики грузы гуманитарного характера, а также транспортные средства, доставляющие гуманитарные грузы, освобождаются от взимания налогов, таможенных пошлин и сборов за совершение действий, связанных с выпуском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гуманитарной помощи (полная или частичная) запрещается, за исключением случаев, определяемых отдельным решением Кабинета Министров Кыргызской Республики. Гуманитарная помощь, поступившая целенаправленно в уполномоченный государственный орган, осуществляющий управление государственным материальным резервом, реализуется в соответствии с </w:t>
      </w:r>
      <w:hyperlink w:history="1" r:id="rIdf_nfak2oqjajdvipjzu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s5sho54nwfkexdkmlb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30 апреля 2024 года № 215)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Гуманитарный груз должен соответствовать международным и национальным стандартам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Гуманитарный характер груза, поступающего в Кыргызскую Республику в целях оказания гуманитарной помощи, определяет уполномоченный государственный орган в сфере труда и социального развития в форме заключения (решения). Заключение о характере гуманитарного груза выдается за подписью руководителя уполномоченного государственного органа в сфере труда и социального развития или его заместителя, курирующего данную сферу.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видам гуманитарной помощи отнесены товары, предусмотренные Перечнем категорий товаров, в отношении которых может быть установлена специальная таможенная процедура, и условий их помещения под такую таможенную процедуру, утвержденным решением Комиссии Таможенного союза от 20 мая 2010 года № 329, подтвержденные соответствующим сертификатом дарения донора. Дарственный сертификат донора (физического лица) должен быть нотариально заверенным.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видом гуманитарной помощи запрещается ввоз алкогольной, табачной продукции, драгоценных металлов, драгоценных камней, изделий из них, а также литературы религиозного характера, в которой содержатся призывы к изменению конституционного строя, религиозной нетерпимости, нравственных устоев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литературы религиозного характера осуществляется по согласованию с уполномоченными государственными органами по делам религий, национальной безопасности и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установления гуманитарного характера груза получатели гуманитарной помощи независимо от их ведомственной подчиненности и форм собственности представляют в уполномоченный государственный орган в сфере труда и социального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копию устава (положения) организации (для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копию свидетельства о государственной регистрации (для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 дарения от донора;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документов, на основании которых получают гуманитарную помощь (транспортные накладные, инвойс/счет фактуру, сертификаты качества/соответствия, переведенные на государственный или официальный язык);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письмо-гарантия получателя, подтверждающее целевое использование гуманитарного груза;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программу использования получаемого гуманитарного груза или план-распределение.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программы использования или плана-распределения в отношении поступившего гуманитарного груза распределение осуществляется получателем по согласованию с уполномоченным государственным органом в сфере труда и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совершения таможенных операций в отношении товаров, ввозимых на таможенную территорию Кыргызской Республики в качестве гуманитарной помощи, в таможенный орган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заключение (решение) уполномоченного государственного органа в сфере труда и социального развития (оригинал);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декларация на товары;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 том числе составленные на иностранных языках, подтверждающие факт безвозмездной передачи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получателя о целевом использовании товаров исключительно для улучшения условий жизни и быта малообеспеченных слоев населения, военнослужащих и приравненных к ним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и товаросопроводительные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осуществление контроля со стороны других государственных органов, в случае, если ввозимые товары подлежат такому контролю (ветеринарный, фитосанитарный, экологический).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Ввоз в Кыргызскую Республику гуманитарной помощи медицинского назначения допускается на основе письма/подтверждения на соответствие безопасности, выданного уполномоченным государственным органом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письма/подтверждения в уполномоченный государственный орган в области здравоохранения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заключение (решение) уполномоченного государственного органа в сфере труда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транспортных и товаросопроводительных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получателя на одобрение ввоза гуманитарной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донора по распределению гуманитарной помощи, ранее согласованный и утвержденный Комиссией уполномоченного государственного органа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регистрацию лекарственных средств, изделий медицинского назначения в стране-производителе и стране-доноре, выданный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производителя, подтверждающий качество и безопасность данной ввозимой партии (серии) лекарственных средств, что ввозимые лекарственные средства и изделия медицинского назначения произведены в соответствии с государственным стандартом качества лекарственных средств, изделий медицинского назначения страны-производителя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сертификата происхождения, выданного компетентным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спецификации (упаковочный лист), в которой должны быть указаны наименования (торговые и международные непатентованные), страна-производитель, изготовитель, форма выпуска, количество, срок годности и стоимость ввозимых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чрезвычайных ситуациях гуманитарная помощь может быть оказана без предварительного согласия, при условии, что пожертвования входят в список предметов чрезвычайной помощи, рекомендованный ООН для использования в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чрезвычайных и кризисных ситуациях, а также чрезвычайных происшествиях выдача уполномоченным государственным органом в сфере труда и социального развития Кыргызской Республики заключения о гуманитарном характере груза осуществляется на основании имеющихся сопроводительных документов к грузу, из перечня документов, указанных в пункте 9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zpqmv5zjdnqcxv9siy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1njuraz7eqvkwv5z-5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получателем гуманитарной помощи осуществляется в присутствии представителя уполномоченного государственного органа в сфере труда и социального развития (выборочно) и иных заинтересованных лиц, уполномоченных донором.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распределения гуманитарной помощи,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том числе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Распределение гуманитарной помощи осуществляется в строгом соответствии с условиями программы донора по использованию гуманитарного груза.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Потребители могут получать гуманитарную помощь как непосредственно от доноров, так и через получателей.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оказании донором гуманитарной помощи конкретному физическому лицу груз гуманитарной помощи передается адресату и дальнейшему контролю за его использованием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Гуманитарная помощь, поступающая юридическому лицу, передается адресату и подлежит контролю государственными службами надзора на предмет ее целевого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Гуманитарная помощь, поступающая в адрес юридических лиц для оказания помощи Кыргызской Республике, распределяется по министерствам, административным ведомствам, органам государственного управления и местного самоуправления, научным и образовательным организациям независимо от форм собственности, общественным фондам, неправительственным организациям и благотворительным фондам под строгим контролем лиц, уполномоченных донором (за исключением гуманитарной помощи, поступающей для Вооруженных Сил Кыргызской Республики, правоохранительных органов, органов национальной безопасности и иных воинских формирований).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Распределение гуманитарной помощи министерствами и административными ведомствами происходит с участием представителей Общественных советов министерств, государственных комитетов и административных ведомств, в чей адрес поступает гуманитарная помощь (за исключением органов национальной безопасности, в случаях чрезвычайных и кризисных ситуаций, а также чрезвычайных происшествий).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kvrns19ctbq6bfyrj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Распределение гуманитарной помощи органами местного самоуправления, научными и образовательными организациями, в чей адрес поступает гуманитарная помощь, осуществляется с участием представителей некоммерческих организаций и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btk4ekjrongnfbyd-9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Донорам рекомендуется поставлять в Кыргызскую Республику лекарственные средства, изделия медицинского назначения и медицинскую технику согласно Перечню жизненно важных лекарственных средств, определяемому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Гуманитарная помощь медицинского назначения оказывается донорами после предварительного согласования и утверждения плана-распределения уполномоченным государственным органом в области здравоохранения с учетом потребности, наименований и количества предоставляемой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Гуманитарные лекарственные средства на момент поступления должны иметь остаточный срок годности не менее одного года, за исключением случаев адресной помощи. Для сывороток и вакцин, имеющих срок годности один год и менее, остаточный срок годности должен составлять не менее пятидесяти процентов. Данные требования не распространяются на изделия медицинского назначения, для которых не устанавливаются требования по сроку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изделий медицинского назначения по линии гуманитарной помощи заявителем должны быть представлены документы, подтверждающие безопасность продукции, и/или гарантийное письмо (декларация) донора о, том, что изделия медицинского назначения исправны.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изделий медицинского назначения, поступающих по линии гуманитарной помощи, осуществляется в соответствии с </w:t>
      </w:r>
      <w:hyperlink w:history="1" r:id="rId95udgd1evtypqxdlj40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1evxlplqcsxbpp-epec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 от 1 февраля 2012 года № 74.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изделий медицинского назначения, бывших в употреблении, одобряется и утверждается решением уполномоченного государственного органа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 грузов гуманитарной помощи медицинского назначения получателем осуществляется в присутствии представителя уполномоченного государственного органа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дальнейшим целевым использованием гуманитарной помощи в Кыргызской Республике осуществляет уполномоченный государственный орган в сфере труда и социального развития,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за получение и распределение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перед донором за получение гуманитарной помощи, сохранность, правильное и своевременное распределение (целевое использование товара), а также доставку ее до потребителей возлагается на получателя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гуманитарная помощь распределяется потребителям с участием органов местного самоуправления, то ответственность за ее правильное и своевременное распределение возлагается также и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прием и распределение гуманитарной помощи лекарственных средств, изделий медицинского назначения и медицинского оборудования, сроки годности лекарственных средств и изделий медицинского назначения несут уполномоченный государственный орган в области здравоохранения и получатели гуманитарной помощи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количество и качество получаемой гуманитарной помощи, а также достоверность представляемых документов в уполномоченный государственный орган в сфере труда и социального развития возлагается на доноров и получателей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Получателями гуманитарной помощи независимо от формы собственности представляется в уполномоченный государственный орган в сфере труда и социального развития ежеквартальный отчет о распределении гуманитарной помощи до 10 числа месяца, следующего за отчетным периодом, по форме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yvhdmlbjdpbasczhfl4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отчетности получателей гуманитарной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пероиод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jnbzsxwi9wfbgmybwo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1"/>
        <w:gridCol w:w="973"/>
        <w:gridCol w:w="685"/>
        <w:gridCol w:w="685"/>
        <w:gridCol w:w="685"/>
        <w:gridCol w:w="1018"/>
        <w:gridCol w:w="784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>
        <w:tc>
          <w:tcPr>
            <w:tcW w:type="dxa" w:w="12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заключения уполномоченного госоргана в сфере труда и социального развития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гуманитарной помощи</w:t>
            </w:r>
          </w:p>
        </w:tc>
        <w:tc>
          <w:tcPr>
            <w:tcW w:type="dxa" w:w="20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гуманитарной помощи (товара)</w:t>
            </w:r>
          </w:p>
        </w:tc>
        <w:tc>
          <w:tcPr>
            <w:tcW w:type="dxa" w:w="7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плану</w:t>
            </w:r>
          </w:p>
        </w:tc>
        <w:tc>
          <w:tcPr>
            <w:tcW w:type="dxa" w:w="1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распределено</w:t>
            </w:r>
          </w:p>
        </w:tc>
        <w:tc>
          <w:tcPr>
            <w:tcW w:type="dxa" w:w="20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Остаток/Резерв (для ЧС) на 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получившая гуманитарную помощь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(*) сумма указана донором только для таможенных целей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qggcsbj8xcu1lkt79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dalil.kg/document/99022</w:t>
      </w:r>
    </w:hyperlink>
  </w:p>
  <w:p>
    <w:pPr>
      <w:spacing w:after="0" w:before="40"/>
      <w:jc w:val="center"/>
    </w:pPr>
    <w:hyperlink w:history="1" r:id="rIdinvmqj8-iidvqoyr4ct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0st3lrx9q4bzqbvqrmo" Type="http://schemas.openxmlformats.org/officeDocument/2006/relationships/hyperlink" Target="https://dalil.kg/document/99977" TargetMode="External"/><Relationship Id="rId_12gevalvqytbrrpxm-au" Type="http://schemas.openxmlformats.org/officeDocument/2006/relationships/hyperlink" Target="https://dalil.kg/document/157745" TargetMode="External"/><Relationship Id="rIds-csgp6rlx8z0xo1num1f" Type="http://schemas.openxmlformats.org/officeDocument/2006/relationships/hyperlink" Target="https://dalil.kg/document/230005357" TargetMode="External"/><Relationship Id="rId_9g0tomgne9ghga8kxups" Type="http://schemas.openxmlformats.org/officeDocument/2006/relationships/hyperlink" Target="https://dalil.kg/document/230024845" TargetMode="External"/><Relationship Id="rIddsnd1xshdaqy7xtbg37i5" Type="http://schemas.openxmlformats.org/officeDocument/2006/relationships/hyperlink" Target="https://dalil.kg/document/2029013" TargetMode="External"/><Relationship Id="rIdkdzgtyohy1vfq0l_h1tmw" Type="http://schemas.openxmlformats.org/officeDocument/2006/relationships/hyperlink" Target="https://dalil.kg/document/99977" TargetMode="External"/><Relationship Id="rIdwqxbosrkwyihma4f4lofg" Type="http://schemas.openxmlformats.org/officeDocument/2006/relationships/hyperlink" Target="https://dalil.kg/document/230024845" TargetMode="External"/><Relationship Id="rIdf_nfak2oqjajdvipjzub7" Type="http://schemas.openxmlformats.org/officeDocument/2006/relationships/hyperlink" Target="https://dalil.kg/document/204001" TargetMode="External"/><Relationship Id="rIdqs5sho54nwfkexdkmlb3b" Type="http://schemas.openxmlformats.org/officeDocument/2006/relationships/hyperlink" Target="https://dalil.kg/document/230005357" TargetMode="External"/><Relationship Id="rIdtzpqmv5zjdnqcxv9siy99" Type="http://schemas.openxmlformats.org/officeDocument/2006/relationships/hyperlink" Target="https://dalil.kg/document/99977" TargetMode="External"/><Relationship Id="rId91njuraz7eqvkwv5z-5yh" Type="http://schemas.openxmlformats.org/officeDocument/2006/relationships/hyperlink" Target="https://dalil.kg/document/157745" TargetMode="External"/><Relationship Id="rIdlbkvrns19ctbq6bfyrjb_" Type="http://schemas.openxmlformats.org/officeDocument/2006/relationships/hyperlink" Target="https://dalil.kg/document/99977" TargetMode="External"/><Relationship Id="rId6btk4ekjrongnfbyd-9mo" Type="http://schemas.openxmlformats.org/officeDocument/2006/relationships/hyperlink" Target="https://dalil.kg/document/99977" TargetMode="External"/><Relationship Id="rId95udgd1evtypqxdlj40lb" Type="http://schemas.openxmlformats.org/officeDocument/2006/relationships/hyperlink" Target="https://dalil.kg/document/93438" TargetMode="External"/><Relationship Id="rId1evxlplqcsxbpp-epecp_" Type="http://schemas.openxmlformats.org/officeDocument/2006/relationships/hyperlink" Target="https://dalil.kg/document/93782" TargetMode="External"/><Relationship Id="rIdyvhdmlbjdpbasczhfl49x" Type="http://schemas.openxmlformats.org/officeDocument/2006/relationships/hyperlink" Target="https://dalil.kg/document/99022#&#1088;1" TargetMode="External"/><Relationship Id="rIdwjnbzsxwi9wfbgmybwotd" Type="http://schemas.openxmlformats.org/officeDocument/2006/relationships/hyperlink" Target="https://dalil.kg/document/999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qggcsbj8xcu1lkt79tk" Type="http://schemas.openxmlformats.org/officeDocument/2006/relationships/hyperlink" Target="https://dalil.kg/document/99022" TargetMode="External"/><Relationship Id="rIdinvmqj8-iidvqoyr4ct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2026-09-23T19:32:28.987Z</dcterms:created>
  <dcterms:modified xsi:type="dcterms:W3CDTF">2026-09-23T19:32:28.987Z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