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center"/>
      </w:pPr>
      <w:r>
        <w:rPr>
          <w:rFonts w:ascii="Arial" w:cs="Arial" w:eastAsia="Arial" w:hAnsi="Arial"/>
          <w:i/>
          <w:iCs/>
          <w:sz w:val="24"/>
          <w:szCs w:val="24"/>
        </w:rPr>
        <w:t xml:space="preserve">УТРАТИЛО СИЛУ
 в соответствии с </w:t>
      </w:r>
      <w:hyperlink w:history="1" r:id="rIdveg5dllzfyf6rkfh9d7u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13 февраля 2020 года № 79</w:t>
      </w:r>
    </w:p>
    <w:p>
      <w:pPr>
        <w:spacing w:after="60"/>
        <w:ind w:firstLine="567"/>
        <w:jc w:val="right"/>
      </w:pPr>
      <w:r>
        <w:rPr>
          <w:rFonts w:ascii="Arial" w:cs="Arial" w:eastAsia="Arial" w:hAnsi="Arial"/>
          <w:sz w:val="24"/>
          <w:szCs w:val="24"/>
        </w:rPr>
        <w:t xml:space="preserve">Приложение 7</w:t>
      </w:r>
    </w:p>
    <w:p>
      <w:pPr>
        <w:spacing w:after="120"/>
        <w:jc w:val="center"/>
      </w:pPr>
      <w:r>
        <w:rPr>
          <w:rFonts w:ascii="Arial" w:cs="Arial" w:eastAsia="Arial" w:hAnsi="Arial"/>
          <w:sz w:val="24"/>
          <w:szCs w:val="24"/>
        </w:rPr>
        <w:t xml:space="preserve">Утверждено
 </w:t>
      </w:r>
      <w:hyperlink w:history="1" r:id="rIdv_gps_ibn7w2bk9dhsfp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августа 2015 года № 564</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таможенном сопровождении</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oo3mmsbayui0gfd6jlxnf">
        <w:r>
          <w:rPr>
            <w:rFonts w:ascii="Arial" w:cs="Arial" w:eastAsia="Arial" w:hAnsi="Arial"/>
            <w:i/>
            <w:iCs/>
            <w:color w:val="1D4ED8"/>
            <w:sz w:val="24"/>
            <w:szCs w:val="24"/>
            <w:u w:val="single"/>
          </w:rPr>
          <w:t xml:space="preserve">29 января 2018 года № 54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Положение о таможенном сопровождении (далее - Положение) определяет порядок таможенного сопровождения товаров, транспортных средств и документов на них, а также сроки и последовательность действий (административных процедур) должностных лиц уполномоченного государственного органа в сфере таможенного дела (далее - должностные лица) при проведении таможенного сопровождения товаров и транспортных средств.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0lsff6c3ywcvm4endvzrk">
        <w:r>
          <w:rPr>
            <w:rFonts w:ascii="Arial" w:cs="Arial" w:eastAsia="Arial" w:hAnsi="Arial"/>
            <w:i/>
            <w:iCs/>
            <w:color w:val="1D4ED8"/>
            <w:sz w:val="24"/>
            <w:szCs w:val="24"/>
            <w:u w:val="single"/>
          </w:rPr>
          <w:t xml:space="preserve">29 января 2018 года № 54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Таможенное сопровождение в соответствии с настоящим Положением осуществляется только на территории Кыргызской Республики.</w:t>
      </w:r>
    </w:p>
    <w:p>
      <w:pPr>
        <w:spacing w:after="60"/>
        <w:ind w:firstLine="567"/>
        <w:jc w:val="both"/>
      </w:pPr>
      <w:r>
        <w:rPr>
          <w:rFonts w:ascii="Arial" w:cs="Arial" w:eastAsia="Arial" w:hAnsi="Arial"/>
          <w:sz w:val="24"/>
          <w:szCs w:val="24"/>
        </w:rPr>
        <w:t xml:space="preserve">Таможенное сопровождение осуществляется в соответствии со стандартами в порядке, установленном </w:t>
      </w:r>
      <w:hyperlink w:history="1" r:id="rId4rv3gaplf77gnrry04pz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стандартов государственных услуг, оказываемых физическими и юридическим лицам органами исполнительной власти, их структурными подразделениями и подведомственными учреждениями" от 3 июня 2014 года № 303.</w:t>
      </w:r>
    </w:p>
    <w:p>
      <w:pPr>
        <w:spacing w:after="60"/>
        <w:ind w:firstLine="567"/>
        <w:jc w:val="both"/>
      </w:pPr>
      <w:r>
        <w:rPr>
          <w:rFonts w:ascii="Arial" w:cs="Arial" w:eastAsia="Arial" w:hAnsi="Arial"/>
          <w:sz w:val="24"/>
          <w:szCs w:val="24"/>
        </w:rPr>
        <w:t xml:space="preserve">2-1. Основные термины и понятия, используемые в настоящем Положении, изложены в значениях, определенных таможенным законодательством Евразийского экономического союза и законодательством Кыргызской Республики в сфере таможенного дела.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90x3bj02pnpwai9ee7jtg">
        <w:r>
          <w:rPr>
            <w:rFonts w:ascii="Arial" w:cs="Arial" w:eastAsia="Arial" w:hAnsi="Arial"/>
            <w:i/>
            <w:iCs/>
            <w:color w:val="1D4ED8"/>
            <w:sz w:val="24"/>
            <w:szCs w:val="24"/>
            <w:u w:val="single"/>
          </w:rPr>
          <w:t xml:space="preserve">29 января 2018 года № 54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Регламент действий должностных лиц, связанных осуществлением таможенного сопровождения, определяется уполномоченным государственным органом в сфере таможенного деле (далее - уполномоченный государственный орган).</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kpg77dqbkcacvequrhzf">
        <w:r>
          <w:rPr>
            <w:rFonts w:ascii="Arial" w:cs="Arial" w:eastAsia="Arial" w:hAnsi="Arial"/>
            <w:i/>
            <w:iCs/>
            <w:color w:val="1D4ED8"/>
            <w:sz w:val="24"/>
            <w:szCs w:val="24"/>
            <w:u w:val="single"/>
          </w:rPr>
          <w:t xml:space="preserve">29 января 2018 года № 54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2. Проведение таможенного сопровождения</w:t>
      </w:r>
    </w:p>
    <w:p>
      <w:pPr>
        <w:spacing w:after="60"/>
        <w:ind w:firstLine="567"/>
        <w:jc w:val="both"/>
      </w:pPr>
      <w:r>
        <w:rPr>
          <w:rFonts w:ascii="Arial" w:cs="Arial" w:eastAsia="Arial" w:hAnsi="Arial"/>
          <w:sz w:val="24"/>
          <w:szCs w:val="24"/>
        </w:rPr>
        <w:t xml:space="preserve">4. Таможенное сопровождение транспортных средств, перевозящих товары в соответствии с таможенной процедурой таможенного транзита, осуществляется должностными лицами.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w-f4nth3lt6f23rfhazh">
        <w:r>
          <w:rPr>
            <w:rFonts w:ascii="Arial" w:cs="Arial" w:eastAsia="Arial" w:hAnsi="Arial"/>
            <w:i/>
            <w:iCs/>
            <w:color w:val="1D4ED8"/>
            <w:sz w:val="24"/>
            <w:szCs w:val="24"/>
            <w:u w:val="single"/>
          </w:rPr>
          <w:t xml:space="preserve">29 января 2018 года № 54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Таможенное сопровождение осуществляется по письменному заявлению перевозчика товаров, в том числе экспедитора (лица, действующего по договору транспортной экспедиции в соответствии с гражданским законодательством Кыргызской Республики), физического лица, управляющего транспортным средством, в случаях, установленных </w:t>
      </w:r>
      <w:r>
        <w:rPr>
          <w:rFonts w:ascii="Arial" w:cs="Arial" w:eastAsia="Arial" w:hAnsi="Arial"/>
          <w:sz w:val="24"/>
          <w:szCs w:val="24"/>
        </w:rPr>
        <w:t xml:space="preserve">статьей 54</w:t>
      </w:r>
      <w:hyperlink w:history="1" r:id="rIdqp_wiwqllqgpftb3y0mf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 регулировании в Кыргызской Республике".</w:t>
      </w:r>
    </w:p>
    <w:p>
      <w:pPr>
        <w:spacing w:after="60"/>
        <w:ind w:firstLine="567"/>
        <w:jc w:val="both"/>
      </w:pPr>
      <w:r>
        <w:rPr>
          <w:rFonts w:ascii="Arial" w:cs="Arial" w:eastAsia="Arial" w:hAnsi="Arial"/>
          <w:sz w:val="24"/>
          <w:szCs w:val="24"/>
        </w:rPr>
        <w:t xml:space="preserve">За таможенное сопровождение взимаются таможенные сборы в размере, установленном </w:t>
      </w:r>
      <w:r>
        <w:rPr>
          <w:rFonts w:ascii="Arial" w:cs="Arial" w:eastAsia="Arial" w:hAnsi="Arial"/>
          <w:sz w:val="24"/>
          <w:szCs w:val="24"/>
        </w:rPr>
        <w:t xml:space="preserve">статьей 189</w:t>
      </w:r>
      <w:r>
        <w:rPr>
          <w:rFonts w:ascii="Arial" w:cs="Arial" w:eastAsia="Arial" w:hAnsi="Arial"/>
          <w:sz w:val="24"/>
          <w:szCs w:val="24"/>
        </w:rPr>
        <w:t xml:space="preserve"> Закона Кыргызской Республики "О таможенном регулировании в Кыргызской Республике".</w:t>
      </w:r>
    </w:p>
    <w:p>
      <w:pPr>
        <w:spacing w:after="60"/>
        <w:ind w:firstLine="567"/>
        <w:jc w:val="both"/>
      </w:pPr>
      <w:r>
        <w:rPr>
          <w:rFonts w:ascii="Arial" w:cs="Arial" w:eastAsia="Arial" w:hAnsi="Arial"/>
          <w:sz w:val="24"/>
          <w:szCs w:val="24"/>
        </w:rPr>
        <w:t xml:space="preserve">6. Таможенное сопровождение осуществляется в соответствии со </w:t>
      </w:r>
      <w:r>
        <w:rPr>
          <w:rFonts w:ascii="Arial" w:cs="Arial" w:eastAsia="Arial" w:hAnsi="Arial"/>
          <w:sz w:val="24"/>
          <w:szCs w:val="24"/>
        </w:rPr>
        <w:t xml:space="preserve">статьей 218</w:t>
      </w:r>
      <w:r>
        <w:rPr>
          <w:rFonts w:ascii="Arial" w:cs="Arial" w:eastAsia="Arial" w:hAnsi="Arial"/>
          <w:sz w:val="24"/>
          <w:szCs w:val="24"/>
        </w:rPr>
        <w:t xml:space="preserve"> Таможенного кодекса Таможенного союза.</w:t>
      </w:r>
    </w:p>
    <w:p>
      <w:pPr>
        <w:spacing w:after="60"/>
        <w:ind w:firstLine="567"/>
        <w:jc w:val="both"/>
      </w:pPr>
      <w:r>
        <w:rPr>
          <w:rFonts w:ascii="Arial" w:cs="Arial" w:eastAsia="Arial" w:hAnsi="Arial"/>
          <w:sz w:val="24"/>
          <w:szCs w:val="24"/>
        </w:rPr>
        <w:t xml:space="preserve">7. Таможенное сопровождение осуществляется в случаях перевозки между таможенными органами товаров по территории Кыргызской Республики, включая перевозку товаров от места их прибытия на таможенную территорию Евразийского экономического союза до места таможенного оформления, от места таможенного оформления до другого места таможенного оформления, от места таможенного оформления товаров до места вывоза с таможенной территории Евразийского экономического союза в Кыргызской Республике, а также между складами временного хранения, таможенными складами, особыми экономическими зонами, складами получателя и свободными складами.</w:t>
      </w:r>
    </w:p>
    <w:p>
      <w:pPr>
        <w:spacing w:after="60"/>
        <w:ind w:firstLine="567"/>
        <w:jc w:val="both"/>
      </w:pPr>
      <w:r>
        <w:rPr>
          <w:rFonts w:ascii="Arial" w:cs="Arial" w:eastAsia="Arial" w:hAnsi="Arial"/>
          <w:sz w:val="24"/>
          <w:szCs w:val="24"/>
        </w:rPr>
        <w:t xml:space="preserve">8. Таможенное сопровождение осуществляет, как правило, один таможенный наряд (одно или несколько должностных лиц, сопровождающих транспортные средства, перевозящие товары, в соответствии с настоящим Положением).</w:t>
      </w:r>
    </w:p>
    <w:p>
      <w:pPr>
        <w:spacing w:after="60"/>
        <w:ind w:firstLine="567"/>
        <w:jc w:val="both"/>
      </w:pPr>
      <w:r>
        <w:rPr>
          <w:rFonts w:ascii="Arial" w:cs="Arial" w:eastAsia="Arial" w:hAnsi="Arial"/>
          <w:sz w:val="24"/>
          <w:szCs w:val="24"/>
        </w:rPr>
        <w:t xml:space="preserve">Смена таможенного наряда по пути следования сопровождаемых транспортных средств, перевозящих товары, допускается в случае невозможности или нецелесообразности дальнейшего сопровождения транспортных средств, перевозящих товары, первоначально назначенным нарядом и осуществляется по согласованию с таможенным органом отправления в соответствии с настоящим Положением. При этом смена таможенного наряда должна производиться после размещения сопровождаемых транспортных средств, перевозящих товары, в зоне таможенного контроля.</w:t>
      </w:r>
    </w:p>
    <w:p>
      <w:pPr>
        <w:spacing w:after="60"/>
        <w:ind w:firstLine="567"/>
        <w:jc w:val="both"/>
      </w:pPr>
      <w:r>
        <w:rPr>
          <w:rFonts w:ascii="Arial" w:cs="Arial" w:eastAsia="Arial" w:hAnsi="Arial"/>
          <w:sz w:val="24"/>
          <w:szCs w:val="24"/>
        </w:rPr>
        <w:t xml:space="preserve">9. В целях наиболее рациональной организации таможенного сопровождения, исключения скопления товаров и транспортных средств в местах их перемещения через таможенную границу таможенные органы могут по согласованию с уполномоченным государственным органом создавать пункты смены таможенных нарядов (далее - ПСТН), перечень которых утверждает уполномоченный государственный орган в сфере таможенного дела.</w:t>
      </w:r>
    </w:p>
    <w:p>
      <w:pPr>
        <w:spacing w:after="60"/>
        <w:ind w:firstLine="567"/>
        <w:jc w:val="both"/>
      </w:pPr>
      <w:r>
        <w:rPr>
          <w:rFonts w:ascii="Arial" w:cs="Arial" w:eastAsia="Arial" w:hAnsi="Arial"/>
          <w:sz w:val="24"/>
          <w:szCs w:val="24"/>
        </w:rPr>
        <w:t xml:space="preserve">Работа ПСТН, в целях исключения простоя транспортных средств перевозящих товары, должна осуществляться в круглосуточном режиме.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itaqyx7ubpi8vr2dr4-ob">
        <w:r>
          <w:rPr>
            <w:rFonts w:ascii="Arial" w:cs="Arial" w:eastAsia="Arial" w:hAnsi="Arial"/>
            <w:i/>
            <w:iCs/>
            <w:color w:val="1D4ED8"/>
            <w:sz w:val="24"/>
            <w:szCs w:val="24"/>
            <w:u w:val="single"/>
          </w:rPr>
          <w:t xml:space="preserve">29 января 2018 года № 54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 Организация таможенного сопровождения</w:t>
      </w:r>
    </w:p>
    <w:p>
      <w:pPr>
        <w:spacing w:after="60"/>
        <w:ind w:firstLine="567"/>
        <w:jc w:val="both"/>
      </w:pPr>
      <w:r>
        <w:rPr>
          <w:rFonts w:ascii="Arial" w:cs="Arial" w:eastAsia="Arial" w:hAnsi="Arial"/>
          <w:sz w:val="24"/>
          <w:szCs w:val="24"/>
        </w:rPr>
        <w:t xml:space="preserve">10. Должностное лицо пункта пропуска (места таможенного оформления), принимающее письменное заявление лиц, указанных в пункте 5 настоящего Положения, обязано:</w:t>
      </w:r>
    </w:p>
    <w:p>
      <w:pPr>
        <w:spacing w:after="60"/>
        <w:ind w:firstLine="567"/>
        <w:jc w:val="both"/>
      </w:pPr>
      <w:r>
        <w:rPr>
          <w:rFonts w:ascii="Arial" w:cs="Arial" w:eastAsia="Arial" w:hAnsi="Arial"/>
          <w:sz w:val="24"/>
          <w:szCs w:val="24"/>
        </w:rPr>
        <w:t xml:space="preserve">- обеспечить регистрацию заявления в журнале регистрации, форма которого определяется уполномоченным государственным органом;</w:t>
      </w:r>
    </w:p>
    <w:p>
      <w:pPr>
        <w:spacing w:after="60"/>
        <w:ind w:firstLine="567"/>
        <w:jc w:val="both"/>
      </w:pPr>
      <w:r>
        <w:rPr>
          <w:rFonts w:ascii="Arial" w:cs="Arial" w:eastAsia="Arial" w:hAnsi="Arial"/>
          <w:sz w:val="24"/>
          <w:szCs w:val="24"/>
        </w:rPr>
        <w:t xml:space="preserve">- направить по оперативным каналам связи письменное заявление в таможенный орган для принятия решения и организации таможенного сопровождения;</w:t>
      </w:r>
    </w:p>
    <w:p>
      <w:pPr>
        <w:spacing w:after="60"/>
        <w:ind w:firstLine="567"/>
        <w:jc w:val="both"/>
      </w:pPr>
      <w:r>
        <w:rPr>
          <w:rFonts w:ascii="Arial" w:cs="Arial" w:eastAsia="Arial" w:hAnsi="Arial"/>
          <w:sz w:val="24"/>
          <w:szCs w:val="24"/>
        </w:rPr>
        <w:t xml:space="preserve">- в случае принятия решения о таможенном сопровождении уведомить лиц, указанных в пункте 5 настоящего Положения, о принятом решении об организации таможенного сопровождения и необходимости уплаты таможенных сборов за таможенное сопровождение;</w:t>
      </w:r>
    </w:p>
    <w:p>
      <w:pPr>
        <w:spacing w:after="60"/>
        <w:ind w:firstLine="567"/>
        <w:jc w:val="both"/>
      </w:pPr>
      <w:r>
        <w:rPr>
          <w:rFonts w:ascii="Arial" w:cs="Arial" w:eastAsia="Arial" w:hAnsi="Arial"/>
          <w:sz w:val="24"/>
          <w:szCs w:val="24"/>
        </w:rPr>
        <w:t xml:space="preserve">- ознакомить должностных лиц, осуществляющих таможенное сопровождение, с принятым решением.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9sb7346haszwdabzsfbq">
        <w:r>
          <w:rPr>
            <w:rFonts w:ascii="Arial" w:cs="Arial" w:eastAsia="Arial" w:hAnsi="Arial"/>
            <w:i/>
            <w:iCs/>
            <w:color w:val="1D4ED8"/>
            <w:sz w:val="24"/>
            <w:szCs w:val="24"/>
            <w:u w:val="single"/>
          </w:rPr>
          <w:t xml:space="preserve">29 января 2018 года № 54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Решение об организации таможенного сопровождения принимается начальником таможенного органа либо его заместителями в форме приказа таможенного органа.</w:t>
      </w:r>
    </w:p>
    <w:p>
      <w:pPr>
        <w:spacing w:after="60"/>
        <w:ind w:firstLine="567"/>
        <w:jc w:val="both"/>
      </w:pPr>
      <w:r>
        <w:rPr>
          <w:rFonts w:ascii="Arial" w:cs="Arial" w:eastAsia="Arial" w:hAnsi="Arial"/>
          <w:sz w:val="24"/>
          <w:szCs w:val="24"/>
        </w:rPr>
        <w:t xml:space="preserve">В случае привлечения должностных лиц центрального аппарата уполномоченного государственного органа, решение об организации таможенного сопровождения принимается руководителем уполномоченного государственного органа либо его заместителем в форме приказа.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vdpz2ayqwffi9m9hikfk">
        <w:r>
          <w:rPr>
            <w:rFonts w:ascii="Arial" w:cs="Arial" w:eastAsia="Arial" w:hAnsi="Arial"/>
            <w:i/>
            <w:iCs/>
            <w:color w:val="1D4ED8"/>
            <w:sz w:val="24"/>
            <w:szCs w:val="24"/>
            <w:u w:val="single"/>
          </w:rPr>
          <w:t xml:space="preserve">29 января 2018 года № 54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В приказе об организации таможенного сопровождения должны быть указаны:</w:t>
      </w:r>
    </w:p>
    <w:p>
      <w:pPr>
        <w:spacing w:after="60"/>
        <w:ind w:firstLine="567"/>
        <w:jc w:val="both"/>
      </w:pPr>
      <w:r>
        <w:rPr>
          <w:rFonts w:ascii="Arial" w:cs="Arial" w:eastAsia="Arial" w:hAnsi="Arial"/>
          <w:sz w:val="24"/>
          <w:szCs w:val="24"/>
        </w:rPr>
        <w:t xml:space="preserve">- фамилия, имя, отчество старшего таможенного наряда, состав наряда;</w:t>
      </w:r>
    </w:p>
    <w:p>
      <w:pPr>
        <w:spacing w:after="60"/>
        <w:ind w:firstLine="567"/>
        <w:jc w:val="both"/>
      </w:pPr>
      <w:r>
        <w:rPr>
          <w:rFonts w:ascii="Arial" w:cs="Arial" w:eastAsia="Arial" w:hAnsi="Arial"/>
          <w:sz w:val="24"/>
          <w:szCs w:val="24"/>
        </w:rPr>
        <w:t xml:space="preserve">- место начала и завершения таможенного сопровождения;</w:t>
      </w:r>
    </w:p>
    <w:p>
      <w:pPr>
        <w:spacing w:after="60"/>
        <w:ind w:firstLine="567"/>
        <w:jc w:val="both"/>
      </w:pPr>
      <w:r>
        <w:rPr>
          <w:rFonts w:ascii="Arial" w:cs="Arial" w:eastAsia="Arial" w:hAnsi="Arial"/>
          <w:sz w:val="24"/>
          <w:szCs w:val="24"/>
        </w:rPr>
        <w:t xml:space="preserve">- маршрут движения, если перевозка товаров осуществляется по определенному маршруту;</w:t>
      </w:r>
    </w:p>
    <w:p>
      <w:pPr>
        <w:spacing w:after="60"/>
        <w:ind w:firstLine="567"/>
        <w:jc w:val="both"/>
      </w:pPr>
      <w:r>
        <w:rPr>
          <w:rFonts w:ascii="Arial" w:cs="Arial" w:eastAsia="Arial" w:hAnsi="Arial"/>
          <w:sz w:val="24"/>
          <w:szCs w:val="24"/>
        </w:rPr>
        <w:t xml:space="preserve">- пункт смены таможенного наряда (при необходимости);</w:t>
      </w:r>
    </w:p>
    <w:p>
      <w:pPr>
        <w:spacing w:after="60"/>
        <w:ind w:firstLine="567"/>
        <w:jc w:val="both"/>
      </w:pPr>
      <w:r>
        <w:rPr>
          <w:rFonts w:ascii="Arial" w:cs="Arial" w:eastAsia="Arial" w:hAnsi="Arial"/>
          <w:sz w:val="24"/>
          <w:szCs w:val="24"/>
        </w:rPr>
        <w:t xml:space="preserve">- сведения о наличии оружия (его тип, количество, номера, количество боеприпасов);</w:t>
      </w:r>
    </w:p>
    <w:p>
      <w:pPr>
        <w:spacing w:after="60"/>
        <w:ind w:firstLine="567"/>
        <w:jc w:val="both"/>
      </w:pPr>
      <w:r>
        <w:rPr>
          <w:rFonts w:ascii="Arial" w:cs="Arial" w:eastAsia="Arial" w:hAnsi="Arial"/>
          <w:sz w:val="24"/>
          <w:szCs w:val="24"/>
        </w:rPr>
        <w:t xml:space="preserve">- сведения о государственных регистрационных знаках сопровождаемых транспортных средств.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xw_ohxebx2gsrd99zlyl">
        <w:r>
          <w:rPr>
            <w:rFonts w:ascii="Arial" w:cs="Arial" w:eastAsia="Arial" w:hAnsi="Arial"/>
            <w:i/>
            <w:iCs/>
            <w:color w:val="1D4ED8"/>
            <w:sz w:val="24"/>
            <w:szCs w:val="24"/>
            <w:u w:val="single"/>
          </w:rPr>
          <w:t xml:space="preserve">29 января 2018 года № 54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4. Порядок оформления документов при таможенном сопровождении</w:t>
      </w:r>
    </w:p>
    <w:p>
      <w:pPr>
        <w:spacing w:after="60"/>
        <w:ind w:firstLine="567"/>
        <w:jc w:val="both"/>
      </w:pPr>
      <w:r>
        <w:rPr>
          <w:rFonts w:ascii="Arial" w:cs="Arial" w:eastAsia="Arial" w:hAnsi="Arial"/>
          <w:sz w:val="24"/>
          <w:szCs w:val="24"/>
        </w:rPr>
        <w:t xml:space="preserve">13. При оформлении документов на сопровождаемые товары и транспортные средства должностное лицо пункта пропуска (места таможенного оформления) таможенного органа на всех экземплярах транзитной декларации проставляет штамп и личную номерную печать и заверяет их подписью.</w:t>
      </w:r>
    </w:p>
    <w:p>
      <w:pPr>
        <w:spacing w:after="60"/>
        <w:ind w:firstLine="567"/>
        <w:jc w:val="both"/>
      </w:pPr>
      <w:r>
        <w:rPr>
          <w:rFonts w:ascii="Arial" w:cs="Arial" w:eastAsia="Arial" w:hAnsi="Arial"/>
          <w:sz w:val="24"/>
          <w:szCs w:val="24"/>
        </w:rPr>
        <w:t xml:space="preserve">14. После оформления документов на сопровождаемые товары и транспортные средства, должностное лицо пункта пропуска (места таможенного оформления):</w:t>
      </w:r>
    </w:p>
    <w:p>
      <w:pPr>
        <w:spacing w:after="60"/>
        <w:ind w:firstLine="567"/>
        <w:jc w:val="both"/>
      </w:pPr>
      <w:r>
        <w:rPr>
          <w:rFonts w:ascii="Arial" w:cs="Arial" w:eastAsia="Arial" w:hAnsi="Arial"/>
          <w:sz w:val="24"/>
          <w:szCs w:val="24"/>
        </w:rPr>
        <w:t xml:space="preserve">- помещает транзитную декларацию, предназначенную для таможенного органа назначения, а также транспортные (перевозочные), коммерческие и иные документы в сейф-пакет;</w:t>
      </w:r>
    </w:p>
    <w:p>
      <w:pPr>
        <w:spacing w:after="60"/>
        <w:ind w:firstLine="567"/>
        <w:jc w:val="both"/>
      </w:pPr>
      <w:r>
        <w:rPr>
          <w:rFonts w:ascii="Arial" w:cs="Arial" w:eastAsia="Arial" w:hAnsi="Arial"/>
          <w:sz w:val="24"/>
          <w:szCs w:val="24"/>
        </w:rPr>
        <w:t xml:space="preserve">- оформляет три экземпляра акта приема-передачи подлежащих таможенному сопровождению транспортных средств, перевозящих товары, по установленной форме (далее - акт приема-передачи), и заверяет их личной номерной печатью;</w:t>
      </w:r>
    </w:p>
    <w:p>
      <w:pPr>
        <w:spacing w:after="60"/>
        <w:ind w:firstLine="567"/>
        <w:jc w:val="both"/>
      </w:pPr>
      <w:r>
        <w:rPr>
          <w:rFonts w:ascii="Arial" w:cs="Arial" w:eastAsia="Arial" w:hAnsi="Arial"/>
          <w:sz w:val="24"/>
          <w:szCs w:val="24"/>
        </w:rPr>
        <w:t xml:space="preserve">- передает старшему таможенного наряда запечатанный сейф-пакет, два экземпляра акта приема-передачи и второй экземпляр транзитной декларации (первые экземпляры акта приема-передачи с отметкой старшего таможенного наряда о принятии к сопровождению транспортных средств и транзитной декларации остаются в таможенном органе отправления).</w:t>
      </w:r>
    </w:p>
    <w:p>
      <w:pPr>
        <w:spacing w:after="60"/>
        <w:ind w:firstLine="567"/>
        <w:jc w:val="both"/>
      </w:pPr>
      <w:r>
        <w:rPr>
          <w:rFonts w:ascii="Arial" w:cs="Arial" w:eastAsia="Arial" w:hAnsi="Arial"/>
          <w:sz w:val="24"/>
          <w:szCs w:val="24"/>
        </w:rPr>
        <w:t xml:space="preserve">15. По прибытии в место доставки либо ПСТН сопровождаемые транспортные средства, перевозящие товары, размещают в зоне таможенного контроля.</w:t>
      </w:r>
    </w:p>
    <w:p>
      <w:pPr>
        <w:spacing w:after="60"/>
        <w:ind w:firstLine="567"/>
        <w:jc w:val="both"/>
      </w:pPr>
      <w:r>
        <w:rPr>
          <w:rFonts w:ascii="Arial" w:cs="Arial" w:eastAsia="Arial" w:hAnsi="Arial"/>
          <w:sz w:val="24"/>
          <w:szCs w:val="24"/>
        </w:rPr>
        <w:t xml:space="preserve">Старший таможенного наряда передает должностному лицу таможенного органа назначения либо смены запечатанный сейф-пакет и совместно с должностным лицом этого таможенного органа проверяет целостность средств идентификации и грузовых отделений транспортных средств.</w:t>
      </w:r>
    </w:p>
    <w:p>
      <w:pPr>
        <w:spacing w:after="60"/>
        <w:ind w:firstLine="567"/>
        <w:jc w:val="both"/>
      </w:pPr>
      <w:r>
        <w:rPr>
          <w:rFonts w:ascii="Arial" w:cs="Arial" w:eastAsia="Arial" w:hAnsi="Arial"/>
          <w:sz w:val="24"/>
          <w:szCs w:val="24"/>
        </w:rPr>
        <w:t xml:space="preserve">Таможенный досмотр товаров и транспортных средств в присутствии таможенного наряда производится только в случае нарушения средств идентификации, целостности грузовых отделений транспортных средств, утраты документов.</w:t>
      </w:r>
    </w:p>
    <w:p>
      <w:pPr>
        <w:spacing w:after="60"/>
        <w:ind w:firstLine="567"/>
        <w:jc w:val="both"/>
      </w:pPr>
      <w:r>
        <w:rPr>
          <w:rFonts w:ascii="Arial" w:cs="Arial" w:eastAsia="Arial" w:hAnsi="Arial"/>
          <w:sz w:val="24"/>
          <w:szCs w:val="24"/>
        </w:rPr>
        <w:t xml:space="preserve">В случае проведения таможенного досмотра копия экземпляра акта досмотра, заверенная оттиском личной номерной печати должностного лица таможенного органа, проводившего таможенный досмотр, вручается старшему таможенного наряда.</w:t>
      </w:r>
    </w:p>
    <w:p>
      <w:pPr>
        <w:spacing w:after="60"/>
        <w:ind w:firstLine="567"/>
        <w:jc w:val="both"/>
      </w:pPr>
      <w:r>
        <w:rPr>
          <w:rFonts w:ascii="Arial" w:cs="Arial" w:eastAsia="Arial" w:hAnsi="Arial"/>
          <w:sz w:val="24"/>
          <w:szCs w:val="24"/>
        </w:rPr>
        <w:t xml:space="preserve">16. Должностное лицо таможенного органа назначения либо смены и старший таможенного наряда по результатам проверки проставляют во втором и третьем экземплярах акта приема-передачи соответствующие отметки о приеме и сдаче сопровождаемых транспортных средств, перевозящих товары. Во втором экземпляре транзитной декларации должностное лицо таможенного органа назначения либо смены проставляет отметку о прибытии таможенного наряда.</w:t>
      </w:r>
    </w:p>
    <w:p>
      <w:pPr>
        <w:spacing w:after="60"/>
        <w:ind w:firstLine="567"/>
        <w:jc w:val="both"/>
      </w:pPr>
      <w:r>
        <w:rPr>
          <w:rFonts w:ascii="Arial" w:cs="Arial" w:eastAsia="Arial" w:hAnsi="Arial"/>
          <w:sz w:val="24"/>
          <w:szCs w:val="24"/>
        </w:rPr>
        <w:t xml:space="preserve">Второй экземпляр акта приема-передачи остается в делах таможенного органа назначения либо смены, третий экземпляр акта приема-передачи и второй экземпляр транзитной декларации передаются старшему таможенного наряда для последующей передачи таможенному органу, выдавшему транзитную декларацию на таможенное сопровождение.</w:t>
      </w:r>
    </w:p>
    <w:p>
      <w:pPr>
        <w:spacing w:after="60"/>
        <w:ind w:firstLine="567"/>
        <w:jc w:val="both"/>
      </w:pPr>
      <w:r>
        <w:rPr>
          <w:rFonts w:ascii="Arial" w:cs="Arial" w:eastAsia="Arial" w:hAnsi="Arial"/>
          <w:sz w:val="24"/>
          <w:szCs w:val="24"/>
        </w:rPr>
        <w:t xml:space="preserve">17. При возникновении обстоятельств, которые могут повлечь уничтожение или утрату сопровождаемых транспортных средств, находящихся в транспортных средствах товаров, документов на них, таможенный наряд обязан принять все зависящие от него меры по обеспечению их сохранности.</w:t>
      </w:r>
    </w:p>
    <w:p>
      <w:pPr>
        <w:spacing w:after="60"/>
        <w:ind w:firstLine="567"/>
        <w:jc w:val="both"/>
      </w:pPr>
      <w:r>
        <w:rPr>
          <w:rFonts w:ascii="Arial" w:cs="Arial" w:eastAsia="Arial" w:hAnsi="Arial"/>
          <w:sz w:val="24"/>
          <w:szCs w:val="24"/>
        </w:rPr>
        <w:t xml:space="preserve">18. При осуществлении таможенного сопровождения таможенный наряд вправе применять физическую силу, специальные средства и оружие в соответствии с правилами, установленными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19. При таможенном сопровождении товаров и автотранспортных средств:</w:t>
      </w:r>
    </w:p>
    <w:p>
      <w:pPr>
        <w:spacing w:after="60"/>
        <w:ind w:firstLine="567"/>
        <w:jc w:val="both"/>
      </w:pPr>
      <w:r>
        <w:rPr>
          <w:rFonts w:ascii="Arial" w:cs="Arial" w:eastAsia="Arial" w:hAnsi="Arial"/>
          <w:sz w:val="24"/>
          <w:szCs w:val="24"/>
        </w:rPr>
        <w:t xml:space="preserve">- один таможенный наряд может сопровождать в зависимости от условий перевозки и характера товаров не более 10 автотранспортных средств;</w:t>
      </w:r>
    </w:p>
    <w:p>
      <w:pPr>
        <w:spacing w:after="60"/>
        <w:ind w:firstLine="567"/>
        <w:jc w:val="both"/>
      </w:pPr>
      <w:r>
        <w:rPr>
          <w:rFonts w:ascii="Arial" w:cs="Arial" w:eastAsia="Arial" w:hAnsi="Arial"/>
          <w:sz w:val="24"/>
          <w:szCs w:val="24"/>
        </w:rPr>
        <w:t xml:space="preserve">- при следовании таможенного наряда в сопровождаемых автотранспортных средствах должностные лица, входящие в состав таможенного наряда, размещаются в головном и замыкающем автотранспортном средстве;</w:t>
      </w:r>
    </w:p>
    <w:p>
      <w:pPr>
        <w:spacing w:after="60"/>
        <w:ind w:firstLine="567"/>
        <w:jc w:val="both"/>
      </w:pPr>
      <w:r>
        <w:rPr>
          <w:rFonts w:ascii="Arial" w:cs="Arial" w:eastAsia="Arial" w:hAnsi="Arial"/>
          <w:sz w:val="24"/>
          <w:szCs w:val="24"/>
        </w:rPr>
        <w:t xml:space="preserve">- при следовании таможенного наряда в машине (машинах) сопровождения сопровождающая машина следует в таком порядке, чтобы обеспечивать наблюдение за всей колонной сопровождаемых автотранспортных средств;</w:t>
      </w:r>
    </w:p>
    <w:p>
      <w:pPr>
        <w:spacing w:after="60"/>
        <w:ind w:firstLine="567"/>
        <w:jc w:val="both"/>
      </w:pPr>
      <w:r>
        <w:rPr>
          <w:rFonts w:ascii="Arial" w:cs="Arial" w:eastAsia="Arial" w:hAnsi="Arial"/>
          <w:sz w:val="24"/>
          <w:szCs w:val="24"/>
        </w:rPr>
        <w:t xml:space="preserve">- во время остановок таможенный наряд контролирует обе стороны колонны.</w:t>
      </w:r>
    </w:p>
    <w:p>
      <w:pPr>
        <w:spacing w:after="60"/>
        <w:ind w:firstLine="567"/>
        <w:jc w:val="both"/>
      </w:pPr>
      <w:r>
        <w:rPr>
          <w:rFonts w:ascii="Arial" w:cs="Arial" w:eastAsia="Arial" w:hAnsi="Arial"/>
          <w:sz w:val="24"/>
          <w:szCs w:val="24"/>
        </w:rPr>
        <w:t xml:space="preserve">В случае неисправности одного из автотранспортных средств, вследствие аварии или действия непреодолимой силы, приведших к невозможности его дальнейшего движения, таможенный наряд приостанавливает движение всей колонны и извещает о случившемся, месте нахождения колонны в ближайший таможенный орган.</w:t>
      </w:r>
    </w:p>
    <w:p>
      <w:pPr>
        <w:spacing w:after="60"/>
        <w:ind w:firstLine="567"/>
        <w:jc w:val="both"/>
      </w:pPr>
      <w:r>
        <w:rPr>
          <w:rFonts w:ascii="Arial" w:cs="Arial" w:eastAsia="Arial" w:hAnsi="Arial"/>
          <w:sz w:val="24"/>
          <w:szCs w:val="24"/>
        </w:rPr>
        <w:t xml:space="preserve">Указанный таможенный орган в кратчайший срок обязан обеспечить прибытие должностных лиц к месту нахождения неисправного автотранспортного средства для принятия мер, необходимых для обеспечения таможенного контроля товаров, находящихся в неисправном автотранспортном средстве.</w:t>
      </w:r>
    </w:p>
    <w:p>
      <w:pPr>
        <w:spacing w:after="60"/>
        <w:ind w:firstLine="567"/>
        <w:jc w:val="both"/>
      </w:pPr>
      <w:r>
        <w:rPr>
          <w:rFonts w:ascii="Arial" w:cs="Arial" w:eastAsia="Arial" w:hAnsi="Arial"/>
          <w:sz w:val="24"/>
          <w:szCs w:val="24"/>
        </w:rPr>
        <w:t xml:space="preserve">О случившемся составляется акт приема-передачи неисправного транспортного средства (далее - акт) в произвольной форме, в двух экземплярах, с изложением обстоятельств дела, описания состояния товаров и других сведений, необходимых для последующего осуществления таможенного контроля и совершения таможенных операций. Акт подписывают старший таможенного наряда и должностное лицо указанного ближайшего таможенного органа.</w:t>
      </w:r>
    </w:p>
    <w:p>
      <w:pPr>
        <w:spacing w:after="60"/>
        <w:ind w:firstLine="567"/>
        <w:jc w:val="both"/>
      </w:pPr>
      <w:r>
        <w:rPr>
          <w:rFonts w:ascii="Arial" w:cs="Arial" w:eastAsia="Arial" w:hAnsi="Arial"/>
          <w:sz w:val="24"/>
          <w:szCs w:val="24"/>
        </w:rPr>
        <w:t xml:space="preserve">Соответствующие изменения старший таможенного наряда и должностное лицо указанного ближайшего таможенного органа вносят в акт и заверяют их своими подписями.</w:t>
      </w:r>
    </w:p>
    <w:p>
      <w:pPr>
        <w:spacing w:after="60"/>
        <w:ind w:firstLine="567"/>
        <w:jc w:val="both"/>
      </w:pPr>
      <w:r>
        <w:rPr>
          <w:rFonts w:ascii="Arial" w:cs="Arial" w:eastAsia="Arial" w:hAnsi="Arial"/>
          <w:sz w:val="24"/>
          <w:szCs w:val="24"/>
        </w:rPr>
        <w:t xml:space="preserve">После передачи неисправного автотранспортного средства, перевозящего товары, и запечатанного сейф-пакета с документами на товары должностным лицам таможенного органа, другие автотранспортные средства колонны могут продолжать движение.</w:t>
      </w:r>
    </w:p>
    <w:p>
      <w:pPr>
        <w:spacing w:after="60"/>
        <w:ind w:firstLine="567"/>
        <w:jc w:val="both"/>
      </w:pPr>
      <w:r>
        <w:rPr>
          <w:rFonts w:ascii="Arial" w:cs="Arial" w:eastAsia="Arial" w:hAnsi="Arial"/>
          <w:sz w:val="24"/>
          <w:szCs w:val="24"/>
        </w:rPr>
        <w:t xml:space="preserve">Если неисправность автотранспортного средства быстро устранима, без опасности повреждения или утраты товаров, вся колонна задерживается до окончания ремонта.</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eg5dllzfyf6rkfh9d7ub" Type="http://schemas.openxmlformats.org/officeDocument/2006/relationships/hyperlink" Target="http://kodeks.duckdns.org/document/157558" TargetMode="External"/><Relationship Id="rIdv_gps_ibn7w2bk9dhsfpj" Type="http://schemas.openxmlformats.org/officeDocument/2006/relationships/hyperlink" Target="http://kodeks.duckdns.org/document/99065" TargetMode="External"/><Relationship Id="rIdoo3mmsbayui0gfd6jlxnf" Type="http://schemas.openxmlformats.org/officeDocument/2006/relationships/hyperlink" Target="http://kodeks.duckdns.org/document/11690" TargetMode="External"/><Relationship Id="rId0lsff6c3ywcvm4endvzrk" Type="http://schemas.openxmlformats.org/officeDocument/2006/relationships/hyperlink" Target="http://kodeks.duckdns.org/document/11690" TargetMode="External"/><Relationship Id="rId4rv3gaplf77gnrry04pzj" Type="http://schemas.openxmlformats.org/officeDocument/2006/relationships/hyperlink" Target="http://kodeks.duckdns.org/document/96552" TargetMode="External"/><Relationship Id="rId90x3bj02pnpwai9ee7jtg" Type="http://schemas.openxmlformats.org/officeDocument/2006/relationships/hyperlink" Target="http://kodeks.duckdns.org/document/11690" TargetMode="External"/><Relationship Id="rIdbkpg77dqbkcacvequrhzf" Type="http://schemas.openxmlformats.org/officeDocument/2006/relationships/hyperlink" Target="http://kodeks.duckdns.org/document/11690" TargetMode="External"/><Relationship Id="rIdzw-f4nth3lt6f23rfhazh" Type="http://schemas.openxmlformats.org/officeDocument/2006/relationships/hyperlink" Target="http://kodeks.duckdns.org/document/11690" TargetMode="External"/><Relationship Id="rIdqp_wiwqllqgpftb3y0mf6" Type="http://schemas.openxmlformats.org/officeDocument/2006/relationships/hyperlink" Target="http://kodeks.duckdns.org/document/205436" TargetMode="External"/><Relationship Id="rIditaqyx7ubpi8vr2dr4-ob" Type="http://schemas.openxmlformats.org/officeDocument/2006/relationships/hyperlink" Target="http://kodeks.duckdns.org/document/11690" TargetMode="External"/><Relationship Id="rIdr9sb7346haszwdabzsfbq" Type="http://schemas.openxmlformats.org/officeDocument/2006/relationships/hyperlink" Target="http://kodeks.duckdns.org/document/11690" TargetMode="External"/><Relationship Id="rIdevdpz2ayqwffi9m9hikfk" Type="http://schemas.openxmlformats.org/officeDocument/2006/relationships/hyperlink" Target="http://kodeks.duckdns.org/document/11690" TargetMode="External"/><Relationship Id="rIdrxw_ohxebx2gsrd99zlyl" Type="http://schemas.openxmlformats.org/officeDocument/2006/relationships/hyperlink" Target="http://kodeks.duckdns.org/document/11690" TargetMode="External"/><Relationship Id="rId7" Type="http://schemas.openxmlformats.org/officeDocument/2006/relationships/image" Target="media/93bec1c1538034512fe33c1434ae0ea86b639d33.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2026-09-23T07:47:39.748Z</dcterms:created>
  <dcterms:modified xsi:type="dcterms:W3CDTF">2026-09-23T07:47:39.748Z</dcterms:modified>
</cp:coreProperties>
</file>

<file path=docProps/custom.xml><?xml version="1.0" encoding="utf-8"?>
<Properties xmlns="http://schemas.openxmlformats.org/officeDocument/2006/custom-properties" xmlns:vt="http://schemas.openxmlformats.org/officeDocument/2006/docPropsVTypes"/>
</file>