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hyperlink w:history="1" r:id="rIdf2pnkjnpjmwhar5z6sx2t">
        <w:r>
          <w:rPr>
            <w:rFonts w:ascii="Arial" w:cs="Arial" w:eastAsia="Arial" w:hAnsi="Arial"/>
            <w:color w:val="1D4ED8"/>
            <w:sz w:val="24"/>
            <w:szCs w:val="24"/>
            <w:u w:val="single"/>
          </w:rPr>
          <w:t xml:space="preserve">постановлением</w:t>
        </w:r>
      </w:hyperlink>
    </w:p>
    <w:p>
      <w:pPr>
        <w:spacing w:after="400" w:before="400"/>
        <w:jc w:val="center"/>
      </w:pPr>
      <w:r>
        <w:rPr>
          <w:rFonts w:ascii="Arial" w:cs="Arial" w:eastAsia="Arial" w:hAnsi="Arial"/>
          <w:b/>
          <w:bCs/>
          <w:sz w:val="32"/>
          <w:szCs w:val="32"/>
        </w:rPr>
        <w:t xml:space="preserve">ПОРЯДОК</w:t>
      </w:r>
      <w:r>
        <w:rPr>
          <w:rFonts w:ascii="Arial" w:cs="Arial" w:eastAsia="Arial" w:hAnsi="Arial"/>
          <w:b/>
          <w:bCs/>
          <w:sz w:val="32"/>
          <w:szCs w:val="32"/>
        </w:rPr>
        <w:t xml:space="preserve">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регламентирует определение, применение и контроль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(далее - ЕАЭС).</w:t>
      </w:r>
    </w:p>
    <w:p>
      <w:pPr>
        <w:spacing w:after="60"/>
        <w:ind w:firstLine="567"/>
        <w:jc w:val="both"/>
      </w:pPr>
      <w:r>
        <w:rPr>
          <w:rFonts w:ascii="Arial" w:cs="Arial" w:eastAsia="Arial" w:hAnsi="Arial"/>
          <w:sz w:val="24"/>
          <w:szCs w:val="24"/>
        </w:rPr>
        <w:t xml:space="preserve">2. В настоящем Порядке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импортер</w:t>
      </w:r>
      <w:r>
        <w:rPr>
          <w:rFonts w:ascii="Arial" w:cs="Arial" w:eastAsia="Arial" w:hAnsi="Arial"/>
          <w:sz w:val="24"/>
          <w:szCs w:val="24"/>
        </w:rPr>
        <w:t xml:space="preserve"> - налогоплательщик, импортирующий товары на территорию Кыргызской Республики из государств-членов ЕАЭС;</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производитель</w:t>
      </w:r>
      <w:r>
        <w:rPr>
          <w:rFonts w:ascii="Arial" w:cs="Arial" w:eastAsia="Arial" w:hAnsi="Arial"/>
          <w:sz w:val="24"/>
          <w:szCs w:val="24"/>
        </w:rPr>
        <w:t xml:space="preserve"> - налогоплательщик, осуществляющий производство товара, для которого устанавливается минимальный уровень контрольных цен.</w:t>
      </w:r>
    </w:p>
    <w:p>
      <w:pPr>
        <w:spacing w:after="60"/>
        <w:ind w:firstLine="567"/>
        <w:jc w:val="both"/>
      </w:pPr>
      <w:r>
        <w:rPr>
          <w:rFonts w:ascii="Arial" w:cs="Arial" w:eastAsia="Arial" w:hAnsi="Arial"/>
          <w:sz w:val="24"/>
          <w:szCs w:val="24"/>
        </w:rPr>
        <w:t xml:space="preserve">3. Термины и определения, используемые в настоящем Порядке, трактуются в значении, определенном настоящим Порядком. В случае отсутствия трактовки терминов и определений в настоящем Порядке, термины и определения трактуются в значении, определенном соответствующим законодательством Кыргызской Республики и/или нормативными правовыми актами ЕАЭС.</w:t>
      </w:r>
    </w:p>
    <w:p>
      <w:pPr>
        <w:spacing w:after="60"/>
        <w:ind w:firstLine="567"/>
        <w:jc w:val="both"/>
      </w:pPr>
      <w:r>
        <w:rPr>
          <w:rFonts w:ascii="Arial" w:cs="Arial" w:eastAsia="Arial" w:hAnsi="Arial"/>
          <w:sz w:val="24"/>
          <w:szCs w:val="24"/>
        </w:rPr>
        <w:t xml:space="preserve">4. Минимальный уровень контрольных цен устанавливается на товары, импортируемые на территорию Кыргызской Республики из государств-членов ЕАЭС, которые включаются в перечень товаров, для которых устанавливается минимальный уровень контрольных цен (далее - Перечень).</w:t>
      </w:r>
    </w:p>
    <w:p>
      <w:pPr>
        <w:spacing w:after="60"/>
        <w:ind w:firstLine="567"/>
        <w:jc w:val="both"/>
      </w:pPr>
      <w:r>
        <w:rPr>
          <w:rFonts w:ascii="Arial" w:cs="Arial" w:eastAsia="Arial" w:hAnsi="Arial"/>
          <w:sz w:val="24"/>
          <w:szCs w:val="24"/>
        </w:rPr>
        <w:t xml:space="preserve">5. Перечень, минимальный уровень контрольных цен, формы заявлений о включении товаров в Перечень и о внесении изменений и/или дополнений в Перечень, а также порядок представления и рассмотрения заявлений разрабатываются и утверждаются приказом уполномоченного государственного органа в сфере антимонопольного регулирования и подлежат опубликованию на официальном сайте уполномоченного государственного органа в сфере антимонопольного регулирования, уполномоченного государственного органа в сфере регулирования предпринимательской деятельности, уполномоченного налогового органа и в газете "Эркин-Тоо".</w:t>
      </w:r>
    </w:p>
    <w:p>
      <w:pPr>
        <w:spacing w:after="200" w:before="200"/>
        <w:jc w:val="center"/>
      </w:pPr>
      <w:r>
        <w:rPr>
          <w:rFonts w:ascii="Arial" w:cs="Arial" w:eastAsia="Arial" w:hAnsi="Arial"/>
          <w:b/>
          <w:bCs/>
          <w:sz w:val="24"/>
          <w:szCs w:val="24"/>
        </w:rPr>
        <w:t xml:space="preserve">2. Определение минимального уровня контрольных цен на товары, импортируемые на территорию Кыргызской Республики из государств-членов ЕАЭС</w:t>
      </w:r>
    </w:p>
    <w:p>
      <w:pPr>
        <w:spacing w:after="60"/>
        <w:ind w:firstLine="567"/>
        <w:jc w:val="both"/>
      </w:pPr>
      <w:r>
        <w:rPr>
          <w:rFonts w:ascii="Arial" w:cs="Arial" w:eastAsia="Arial" w:hAnsi="Arial"/>
          <w:sz w:val="24"/>
          <w:szCs w:val="24"/>
        </w:rPr>
        <w:t xml:space="preserve">6. Уполномоченный государственный орган в сфере антимонопольного регулирования осуществляет прием заявлений от бизнес-ассоциаций, налогоплательщиков и/или государственных органов Кыргызской Республики о включении товаров в Перечень.</w:t>
      </w:r>
    </w:p>
    <w:p>
      <w:pPr>
        <w:spacing w:after="60"/>
        <w:ind w:firstLine="567"/>
        <w:jc w:val="both"/>
      </w:pPr>
      <w:r>
        <w:rPr>
          <w:rFonts w:ascii="Arial" w:cs="Arial" w:eastAsia="Arial" w:hAnsi="Arial"/>
          <w:sz w:val="24"/>
          <w:szCs w:val="24"/>
        </w:rPr>
        <w:t xml:space="preserve">7. В заявлении отражается следующая информация:</w:t>
      </w:r>
    </w:p>
    <w:p>
      <w:pPr>
        <w:spacing w:after="60"/>
        <w:ind w:firstLine="567"/>
        <w:jc w:val="both"/>
      </w:pPr>
      <w:r>
        <w:rPr>
          <w:rFonts w:ascii="Arial" w:cs="Arial" w:eastAsia="Arial" w:hAnsi="Arial"/>
          <w:sz w:val="24"/>
          <w:szCs w:val="24"/>
        </w:rPr>
        <w:t xml:space="preserve">1) наименование товара, для которого необходимо установить минимальный уровень контрольных цен, с указанием кода товарной номенклатуры внешнеэкономической деятельности ЕАЭС;</w:t>
      </w:r>
    </w:p>
    <w:p>
      <w:pPr>
        <w:spacing w:after="60"/>
        <w:ind w:firstLine="567"/>
        <w:jc w:val="both"/>
      </w:pPr>
      <w:r>
        <w:rPr>
          <w:rFonts w:ascii="Arial" w:cs="Arial" w:eastAsia="Arial" w:hAnsi="Arial"/>
          <w:sz w:val="24"/>
          <w:szCs w:val="24"/>
        </w:rPr>
        <w:t xml:space="preserve">2) действующая розничная цена;</w:t>
      </w:r>
    </w:p>
    <w:p>
      <w:pPr>
        <w:spacing w:after="60"/>
        <w:ind w:firstLine="567"/>
        <w:jc w:val="both"/>
      </w:pPr>
      <w:r>
        <w:rPr>
          <w:rFonts w:ascii="Arial" w:cs="Arial" w:eastAsia="Arial" w:hAnsi="Arial"/>
          <w:sz w:val="24"/>
          <w:szCs w:val="24"/>
        </w:rPr>
        <w:t xml:space="preserve">3) цена импортируемых товаров согласно заключенным договорам с поставщиками;</w:t>
      </w:r>
    </w:p>
    <w:p>
      <w:pPr>
        <w:spacing w:after="60"/>
        <w:ind w:firstLine="567"/>
        <w:jc w:val="both"/>
      </w:pPr>
      <w:r>
        <w:rPr>
          <w:rFonts w:ascii="Arial" w:cs="Arial" w:eastAsia="Arial" w:hAnsi="Arial"/>
          <w:sz w:val="24"/>
          <w:szCs w:val="24"/>
        </w:rPr>
        <w:t xml:space="preserve">4) предлагаемый размер минимального уровня контрольных цен, с обоснованием необходимости применения минимального уровня контрольных цен и включения в Перечень.</w:t>
      </w:r>
    </w:p>
    <w:p>
      <w:pPr>
        <w:spacing w:after="60"/>
        <w:ind w:firstLine="567"/>
        <w:jc w:val="both"/>
      </w:pPr>
      <w:r>
        <w:rPr>
          <w:rFonts w:ascii="Arial" w:cs="Arial" w:eastAsia="Arial" w:hAnsi="Arial"/>
          <w:sz w:val="24"/>
          <w:szCs w:val="24"/>
        </w:rPr>
        <w:t xml:space="preserve">8. Уполномоченный государственный орган в сфере антимонопольного регулирования принимает заявление либо отказывает в его приеме. Основанием для отказа в приеме заявления является отсутствие в заявлении информации, указанной в пункте 7 настоящего Порядка.</w:t>
      </w:r>
    </w:p>
    <w:p>
      <w:pPr>
        <w:spacing w:after="60"/>
        <w:ind w:firstLine="567"/>
        <w:jc w:val="both"/>
      </w:pPr>
      <w:r>
        <w:rPr>
          <w:rFonts w:ascii="Arial" w:cs="Arial" w:eastAsia="Arial" w:hAnsi="Arial"/>
          <w:sz w:val="24"/>
          <w:szCs w:val="24"/>
        </w:rPr>
        <w:t xml:space="preserve">9. Уполномоченный государственный орган в сфере антимонопольного регулирования в течение трех рабочих дней со дня приема заявления направляет запрос о предоставлении сведений по ценам на товары, указанные в заявлении:</w:t>
      </w:r>
    </w:p>
    <w:p>
      <w:pPr>
        <w:spacing w:after="60"/>
        <w:ind w:firstLine="567"/>
        <w:jc w:val="both"/>
      </w:pPr>
      <w:r>
        <w:rPr>
          <w:rFonts w:ascii="Arial" w:cs="Arial" w:eastAsia="Arial" w:hAnsi="Arial"/>
          <w:sz w:val="24"/>
          <w:szCs w:val="24"/>
        </w:rPr>
        <w:t xml:space="preserve">1) бизнес-ассоциациям;</w:t>
      </w:r>
    </w:p>
    <w:p>
      <w:pPr>
        <w:spacing w:after="60"/>
        <w:ind w:firstLine="567"/>
        <w:jc w:val="both"/>
      </w:pPr>
      <w:r>
        <w:rPr>
          <w:rFonts w:ascii="Arial" w:cs="Arial" w:eastAsia="Arial" w:hAnsi="Arial"/>
          <w:sz w:val="24"/>
          <w:szCs w:val="24"/>
        </w:rPr>
        <w:t xml:space="preserve">2) импортерам товаров;</w:t>
      </w:r>
    </w:p>
    <w:p>
      <w:pPr>
        <w:spacing w:after="60"/>
        <w:ind w:firstLine="567"/>
        <w:jc w:val="both"/>
      </w:pPr>
      <w:r>
        <w:rPr>
          <w:rFonts w:ascii="Arial" w:cs="Arial" w:eastAsia="Arial" w:hAnsi="Arial"/>
          <w:sz w:val="24"/>
          <w:szCs w:val="24"/>
        </w:rPr>
        <w:t xml:space="preserve">3) отечественным производителям товаров;</w:t>
      </w:r>
    </w:p>
    <w:p>
      <w:pPr>
        <w:spacing w:after="60"/>
        <w:ind w:firstLine="567"/>
        <w:jc w:val="both"/>
      </w:pPr>
      <w:r>
        <w:rPr>
          <w:rFonts w:ascii="Arial" w:cs="Arial" w:eastAsia="Arial" w:hAnsi="Arial"/>
          <w:sz w:val="24"/>
          <w:szCs w:val="24"/>
        </w:rPr>
        <w:t xml:space="preserve">4) уполномоченному налоговому органу;</w:t>
      </w:r>
    </w:p>
    <w:p>
      <w:pPr>
        <w:spacing w:after="60"/>
        <w:ind w:firstLine="567"/>
        <w:jc w:val="both"/>
      </w:pPr>
      <w:r>
        <w:rPr>
          <w:rFonts w:ascii="Arial" w:cs="Arial" w:eastAsia="Arial" w:hAnsi="Arial"/>
          <w:sz w:val="24"/>
          <w:szCs w:val="24"/>
        </w:rPr>
        <w:t xml:space="preserve">5) уполномоченному государственному органу в сфере таможенного дела;</w:t>
      </w:r>
    </w:p>
    <w:p>
      <w:pPr>
        <w:spacing w:after="60"/>
        <w:ind w:firstLine="567"/>
        <w:jc w:val="both"/>
      </w:pPr>
      <w:r>
        <w:rPr>
          <w:rFonts w:ascii="Arial" w:cs="Arial" w:eastAsia="Arial" w:hAnsi="Arial"/>
          <w:sz w:val="24"/>
          <w:szCs w:val="24"/>
        </w:rPr>
        <w:t xml:space="preserve">6) уполномоченному государственному органу в сфере статистики;</w:t>
      </w:r>
    </w:p>
    <w:p>
      <w:pPr>
        <w:spacing w:after="60"/>
        <w:ind w:firstLine="567"/>
        <w:jc w:val="both"/>
      </w:pPr>
      <w:r>
        <w:rPr>
          <w:rFonts w:ascii="Arial" w:cs="Arial" w:eastAsia="Arial" w:hAnsi="Arial"/>
          <w:sz w:val="24"/>
          <w:szCs w:val="24"/>
        </w:rPr>
        <w:t xml:space="preserve">7) уполномоченному государственному органу в сфере борьбы с экономическими преступлениями.</w:t>
      </w:r>
    </w:p>
    <w:p>
      <w:pPr>
        <w:spacing w:after="60"/>
        <w:ind w:firstLine="567"/>
        <w:jc w:val="both"/>
      </w:pPr>
      <w:r>
        <w:rPr>
          <w:rFonts w:ascii="Arial" w:cs="Arial" w:eastAsia="Arial" w:hAnsi="Arial"/>
          <w:sz w:val="24"/>
          <w:szCs w:val="24"/>
        </w:rPr>
        <w:t xml:space="preserve">10. Бизнес-ассоциации, налогоплательщики и государственные органы, указанные в пункте 9 настоящего Порядка, представляют в течение трех рабочих дней со дня получения запроса информацию о товарных позициях, указанных в запросе.</w:t>
      </w:r>
    </w:p>
    <w:p>
      <w:pPr>
        <w:spacing w:after="60"/>
        <w:ind w:firstLine="567"/>
        <w:jc w:val="both"/>
      </w:pPr>
      <w:r>
        <w:rPr>
          <w:rFonts w:ascii="Arial" w:cs="Arial" w:eastAsia="Arial" w:hAnsi="Arial"/>
          <w:sz w:val="24"/>
          <w:szCs w:val="24"/>
        </w:rPr>
        <w:t xml:space="preserve">11. На основании полученной информации уполномоченный государственный орган в сфере антимонопольного регулирования в течение трех рабочих дней со дня получения последнего письменного ответа производит расчет минимального уровня контрольной цены на товар в соответствии с настоящим Порядком, формирует Перечень и издает приказ о его утверждении.</w:t>
      </w:r>
    </w:p>
    <w:p>
      <w:pPr>
        <w:spacing w:after="60"/>
        <w:ind w:firstLine="567"/>
        <w:jc w:val="both"/>
      </w:pPr>
      <w:r>
        <w:rPr>
          <w:rFonts w:ascii="Arial" w:cs="Arial" w:eastAsia="Arial" w:hAnsi="Arial"/>
          <w:sz w:val="24"/>
          <w:szCs w:val="24"/>
        </w:rPr>
        <w:t xml:space="preserve">12. Перечень содержит наименования товаров, коды товарной номенклатуры внешнеэкономической деятельности ЕАЭС, размеры минимального уровня контрольных цен.</w:t>
      </w:r>
    </w:p>
    <w:p>
      <w:pPr>
        <w:spacing w:after="60"/>
        <w:ind w:firstLine="567"/>
        <w:jc w:val="both"/>
      </w:pPr>
      <w:r>
        <w:rPr>
          <w:rFonts w:ascii="Arial" w:cs="Arial" w:eastAsia="Arial" w:hAnsi="Arial"/>
          <w:sz w:val="24"/>
          <w:szCs w:val="24"/>
        </w:rPr>
        <w:t xml:space="preserve">13. Размер минимального уровня контрольной цены на товар определяется на основе среднеарифметической цены на товар, с уменьшением полученного результата на 20 процентов,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Сц - (Сц * 20%) = минимальный уровень контрольных цен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Сц - среднеарифметическая цена.</w:t>
      </w:r>
    </w:p>
    <w:p>
      <w:pPr>
        <w:spacing w:after="60"/>
        <w:ind w:firstLine="567"/>
        <w:jc w:val="both"/>
      </w:pPr>
      <w:r>
        <w:rPr>
          <w:rFonts w:ascii="Arial" w:cs="Arial" w:eastAsia="Arial" w:hAnsi="Arial"/>
          <w:sz w:val="24"/>
          <w:szCs w:val="24"/>
        </w:rPr>
        <w:t xml:space="preserve">14. Среднеарифметическая цена определяется уполномоченным государственным органом в сфере антимонопольного регулирования на основе данных о цене по итогам мониторинга, осуществляемого согласно требованиям законодательства в сфере антимонопольного регулирования, а также с учетом информации, полученной от бизнес-ассоциаций, налогоплательщиков и государственных органов, указанных в пункте 9 настоящего Порядка.</w:t>
      </w:r>
    </w:p>
    <w:p>
      <w:pPr>
        <w:spacing w:after="60"/>
        <w:ind w:firstLine="567"/>
        <w:jc w:val="both"/>
      </w:pPr>
      <w:r>
        <w:rPr>
          <w:rFonts w:ascii="Arial" w:cs="Arial" w:eastAsia="Arial" w:hAnsi="Arial"/>
          <w:sz w:val="24"/>
          <w:szCs w:val="24"/>
        </w:rPr>
        <w:t xml:space="preserve">Например: От бизнес-ассоциации в уполномоченный государственный орган в сфере антимонопольного регулирования поступило заявление о том, что на рынке Кыргызской Республики реализуется импортное масло растительное по заниженным ценам. Уполномоченный государственный орган в сфере антимонопольного регулирования направил запросы: 2 крупным импортерам, 1 импортеру, являющемуся субъектом среднего предпринимательства, 1 производителю масла и 4 государственным органам. Согласно представленным письменным ответам, цена на масло растительное составила:</w:t>
      </w:r>
    </w:p>
    <w:p>
      <w:pPr>
        <w:spacing w:after="60"/>
        <w:ind w:firstLine="567"/>
        <w:jc w:val="both"/>
      </w:pPr>
      <w:r>
        <w:rPr>
          <w:rFonts w:ascii="Arial" w:cs="Arial" w:eastAsia="Arial" w:hAnsi="Arial"/>
          <w:sz w:val="24"/>
          <w:szCs w:val="24"/>
        </w:rPr>
        <w:t xml:space="preserve">1) по информации импортеров - в размере 40, 42 и 38 сомов за 1 литр соответственно;</w:t>
      </w:r>
    </w:p>
    <w:p>
      <w:pPr>
        <w:spacing w:after="60"/>
        <w:ind w:firstLine="567"/>
        <w:jc w:val="both"/>
      </w:pPr>
      <w:r>
        <w:rPr>
          <w:rFonts w:ascii="Arial" w:cs="Arial" w:eastAsia="Arial" w:hAnsi="Arial"/>
          <w:sz w:val="24"/>
          <w:szCs w:val="24"/>
        </w:rPr>
        <w:t xml:space="preserve">2) по информации производителя масла - 41 сом за 1 литр;</w:t>
      </w:r>
    </w:p>
    <w:p>
      <w:pPr>
        <w:spacing w:after="60"/>
        <w:ind w:firstLine="567"/>
        <w:jc w:val="both"/>
      </w:pPr>
      <w:r>
        <w:rPr>
          <w:rFonts w:ascii="Arial" w:cs="Arial" w:eastAsia="Arial" w:hAnsi="Arial"/>
          <w:sz w:val="24"/>
          <w:szCs w:val="24"/>
        </w:rPr>
        <w:t xml:space="preserve">3) по информации уполномоченного государственного органа в сфере таможенного дела - 37 сомов за 1 литр;</w:t>
      </w:r>
    </w:p>
    <w:p>
      <w:pPr>
        <w:spacing w:after="60"/>
        <w:ind w:firstLine="567"/>
        <w:jc w:val="both"/>
      </w:pPr>
      <w:r>
        <w:rPr>
          <w:rFonts w:ascii="Arial" w:cs="Arial" w:eastAsia="Arial" w:hAnsi="Arial"/>
          <w:sz w:val="24"/>
          <w:szCs w:val="24"/>
        </w:rPr>
        <w:t xml:space="preserve">4) по информации уполномоченного государственного органа в сфере статистики - 35 сомов за 1 литр;</w:t>
      </w:r>
    </w:p>
    <w:p>
      <w:pPr>
        <w:spacing w:after="60"/>
        <w:ind w:firstLine="567"/>
        <w:jc w:val="both"/>
      </w:pPr>
      <w:r>
        <w:rPr>
          <w:rFonts w:ascii="Arial" w:cs="Arial" w:eastAsia="Arial" w:hAnsi="Arial"/>
          <w:sz w:val="24"/>
          <w:szCs w:val="24"/>
        </w:rPr>
        <w:t xml:space="preserve">5) два государственных органа не располагают информацией.</w:t>
      </w:r>
    </w:p>
    <w:p>
      <w:pPr>
        <w:spacing w:after="60"/>
        <w:ind w:firstLine="567"/>
        <w:jc w:val="both"/>
      </w:pPr>
      <w:r>
        <w:rPr>
          <w:rFonts w:ascii="Arial" w:cs="Arial" w:eastAsia="Arial" w:hAnsi="Arial"/>
          <w:sz w:val="24"/>
          <w:szCs w:val="24"/>
        </w:rPr>
        <w:t xml:space="preserve">Итого, среднеарифметическая цена составит: (40 + 42 + 38 + 41 + 37 + 35) / 6 = 39 сомов за 1 литр.</w:t>
      </w:r>
    </w:p>
    <w:p>
      <w:pPr>
        <w:spacing w:after="60"/>
        <w:ind w:firstLine="567"/>
        <w:jc w:val="both"/>
      </w:pPr>
      <w:r>
        <w:rPr>
          <w:rFonts w:ascii="Arial" w:cs="Arial" w:eastAsia="Arial" w:hAnsi="Arial"/>
          <w:sz w:val="24"/>
          <w:szCs w:val="24"/>
        </w:rPr>
        <w:t xml:space="preserve">Размер минимального уровня контрольной цены составит: 39 - (39 * 20%) = 39 - 8 = 31 сом за 1 литр.</w:t>
      </w:r>
    </w:p>
    <w:p>
      <w:pPr>
        <w:spacing w:after="60"/>
        <w:ind w:firstLine="567"/>
        <w:jc w:val="both"/>
      </w:pPr>
      <w:r>
        <w:rPr>
          <w:rFonts w:ascii="Arial" w:cs="Arial" w:eastAsia="Arial" w:hAnsi="Arial"/>
          <w:sz w:val="24"/>
          <w:szCs w:val="24"/>
        </w:rPr>
        <w:t xml:space="preserve">15. Минимальный уровень контрольных цен устанавливается в национальной валюте, с учетом правил математического округления (значения показателей менее 50 тыйынов округляются в меньшую сторону, 50 тыйынов и более - округляются до сома).</w:t>
      </w:r>
    </w:p>
    <w:p>
      <w:pPr>
        <w:spacing w:after="60"/>
        <w:ind w:firstLine="567"/>
        <w:jc w:val="both"/>
      </w:pPr>
      <w:r>
        <w:rPr>
          <w:rFonts w:ascii="Arial" w:cs="Arial" w:eastAsia="Arial" w:hAnsi="Arial"/>
          <w:sz w:val="24"/>
          <w:szCs w:val="24"/>
        </w:rPr>
        <w:t xml:space="preserve">16. Валюта государства-члена ЕАЭС, использованная при расчетах за ввезенный товар, исчисляется по курсу Национального банка Кыргызской Республики на дату принятия налогоплательщиком на учет импортированных товаров, согласно нормам раздела IX Налогового кодекса Кыргызской Республики.</w:t>
      </w:r>
    </w:p>
    <w:p>
      <w:pPr>
        <w:spacing w:after="60"/>
        <w:ind w:firstLine="567"/>
        <w:jc w:val="both"/>
      </w:pPr>
      <w:r>
        <w:rPr>
          <w:rFonts w:ascii="Arial" w:cs="Arial" w:eastAsia="Arial" w:hAnsi="Arial"/>
          <w:sz w:val="24"/>
          <w:szCs w:val="24"/>
        </w:rPr>
        <w:t xml:space="preserve">17. Единица измерения товара при определении минимального уровня контрольных цен указывается в соответствии с товарной номенклатурой внешнеэкономической деятельности (далее - ТН ВЭД ЕАЭС).</w:t>
      </w:r>
    </w:p>
    <w:p>
      <w:pPr>
        <w:spacing w:after="200" w:before="200"/>
        <w:jc w:val="center"/>
      </w:pPr>
      <w:r>
        <w:rPr>
          <w:rFonts w:ascii="Arial" w:cs="Arial" w:eastAsia="Arial" w:hAnsi="Arial"/>
          <w:b/>
          <w:bCs/>
          <w:sz w:val="24"/>
          <w:szCs w:val="24"/>
        </w:rPr>
        <w:t xml:space="preserve">3. Применение и контроль минимального уровня контрольных цен</w:t>
      </w:r>
    </w:p>
    <w:p>
      <w:pPr>
        <w:spacing w:after="60"/>
        <w:ind w:firstLine="567"/>
        <w:jc w:val="both"/>
      </w:pPr>
      <w:r>
        <w:rPr>
          <w:rFonts w:ascii="Arial" w:cs="Arial" w:eastAsia="Arial" w:hAnsi="Arial"/>
          <w:sz w:val="24"/>
          <w:szCs w:val="24"/>
        </w:rPr>
        <w:t xml:space="preserve">18. В случае, если импортер осуществляет ввоз товара, включенного в Перечень, и указывает в договоре и в товаросопроводительных документах цену товара, меньше установленного размера минимального уровня контрольных цен, налоговое обязательство по косвенным налогам исчисляется с применением установленного минимального уровня контрольных цен и отражением его в налоговой отчетности по косвенным налогам.</w:t>
      </w:r>
    </w:p>
    <w:p>
      <w:pPr>
        <w:spacing w:after="60"/>
        <w:ind w:firstLine="567"/>
        <w:jc w:val="both"/>
      </w:pPr>
      <w:r>
        <w:rPr>
          <w:rFonts w:ascii="Arial" w:cs="Arial" w:eastAsia="Arial" w:hAnsi="Arial"/>
          <w:sz w:val="24"/>
          <w:szCs w:val="24"/>
        </w:rPr>
        <w:t xml:space="preserve">Например: налогоплательщик осуществил ввоз растительного масла с территории государства-члена ЕАЭС в количестве 10000 литров. В договоре (контракте) и товаросопроводительных документах цена за 1 литр указана в размере 5 российских рублей за 1 литр. Наиболее поздней датой принятия на учет импортированных товаров явилась дата пересечения Государственной границы Кыргызской Республики. Курс Национального банка Кыргызской Республики на дату пересечения Государственной границы Кыргызской Республики составил 1,0550 сома за 1 российский рубль. При переводе в национальную валюту стоимость 1 литра - 5,3 сома за литр (5 * 1,0550). Согласно утвержденному Перечню, минимальный уровень контрольной цены на растительное масло составляет 15 сомов за 1 литр. В данном случае, минимальный уровень контрольных цен подлежит применению к ввезенному товару и отражению в налоговой отчетности по косвенным налогам.</w:t>
      </w:r>
    </w:p>
    <w:p>
      <w:pPr>
        <w:spacing w:after="60"/>
        <w:ind w:firstLine="567"/>
        <w:jc w:val="both"/>
      </w:pPr>
      <w:r>
        <w:rPr>
          <w:rFonts w:ascii="Arial" w:cs="Arial" w:eastAsia="Arial" w:hAnsi="Arial"/>
          <w:sz w:val="24"/>
          <w:szCs w:val="24"/>
        </w:rPr>
        <w:t xml:space="preserve">19. В случае, если импортер осуществляет ввоз товара, включенного в Перечень, и указывает в договоре и в товаросопроводительных документах цену товара, больше установленного размера минимального уровня контрольных цен, налоговое обязательство по косвенным налогам исчисляется исходя из цены, указанной в договоре и товаросопроводительных документах, без применения минимального уровня контрольных цен.</w:t>
      </w:r>
    </w:p>
    <w:p>
      <w:pPr>
        <w:spacing w:after="60"/>
        <w:ind w:firstLine="567"/>
        <w:jc w:val="both"/>
      </w:pPr>
      <w:r>
        <w:rPr>
          <w:rFonts w:ascii="Arial" w:cs="Arial" w:eastAsia="Arial" w:hAnsi="Arial"/>
          <w:sz w:val="24"/>
          <w:szCs w:val="24"/>
        </w:rPr>
        <w:t xml:space="preserve">20. При выявлении фактов ввоза товаров, на которые установлен минимальный уровень контрольных цен, на территорию Кыргызской Республики без наличия соответствующих товаросопроводительных документов, косвенные налоги подлежат начислению налоговым органом с применением минимального уровня контрольных цен.</w:t>
      </w:r>
    </w:p>
    <w:p>
      <w:pPr>
        <w:spacing w:after="60"/>
        <w:ind w:firstLine="567"/>
        <w:jc w:val="both"/>
      </w:pPr>
      <w:r>
        <w:rPr>
          <w:rFonts w:ascii="Arial" w:cs="Arial" w:eastAsia="Arial" w:hAnsi="Arial"/>
          <w:sz w:val="24"/>
          <w:szCs w:val="24"/>
        </w:rPr>
        <w:t xml:space="preserve">21. При выявлении фактов непредставления импортером соответствующего отчета по косвенным налогам при ввозе товаров, к которым применяется минимальный уровень контрольных цен, или применения минимального уровня контрольных цен в нарушение установленных требований, косвенные налоги подлежат начислению в установленном порядке и налогоплательщик несет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22. В случае установления уполномоченным государственным органом в сфере борьбы с экономическими преступлениями фактов нарушения импортером требований настоящего Порядка, материалы по ним передаются в органы налоговой службы для принятия мер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4. Порядок внесения изменений и/или дополнений в Перечень</w:t>
      </w:r>
    </w:p>
    <w:p>
      <w:pPr>
        <w:spacing w:after="60"/>
        <w:ind w:firstLine="567"/>
        <w:jc w:val="both"/>
      </w:pPr>
      <w:r>
        <w:rPr>
          <w:rFonts w:ascii="Arial" w:cs="Arial" w:eastAsia="Arial" w:hAnsi="Arial"/>
          <w:sz w:val="24"/>
          <w:szCs w:val="24"/>
        </w:rPr>
        <w:t xml:space="preserve">23. Внесение изменений и/или дополнений в Перечень производится в случае, если налогоплательщик и/или бизнес-ассоциации, и/или государственные органы, указанные в пункте 9 настоящего Порядка, обращаются с заявлением в уполномоченный государственный орган в сфере антимонопольного регулирования.</w:t>
      </w:r>
    </w:p>
    <w:p>
      <w:pPr>
        <w:spacing w:after="60"/>
        <w:ind w:firstLine="567"/>
        <w:jc w:val="both"/>
      </w:pPr>
      <w:r>
        <w:rPr>
          <w:rFonts w:ascii="Arial" w:cs="Arial" w:eastAsia="Arial" w:hAnsi="Arial"/>
          <w:sz w:val="24"/>
          <w:szCs w:val="24"/>
        </w:rPr>
        <w:t xml:space="preserve">24. Заявление о внесении изменений и/или дополнений в Перечень содержит:</w:t>
      </w:r>
    </w:p>
    <w:p>
      <w:pPr>
        <w:spacing w:after="60"/>
        <w:ind w:firstLine="567"/>
        <w:jc w:val="both"/>
      </w:pPr>
      <w:r>
        <w:rPr>
          <w:rFonts w:ascii="Arial" w:cs="Arial" w:eastAsia="Arial" w:hAnsi="Arial"/>
          <w:sz w:val="24"/>
          <w:szCs w:val="24"/>
        </w:rPr>
        <w:t xml:space="preserve">1) наименование товара;</w:t>
      </w:r>
    </w:p>
    <w:p>
      <w:pPr>
        <w:spacing w:after="60"/>
        <w:ind w:firstLine="567"/>
        <w:jc w:val="both"/>
      </w:pPr>
      <w:r>
        <w:rPr>
          <w:rFonts w:ascii="Arial" w:cs="Arial" w:eastAsia="Arial" w:hAnsi="Arial"/>
          <w:sz w:val="24"/>
          <w:szCs w:val="24"/>
        </w:rPr>
        <w:t xml:space="preserve">2) код ТН ВЭД ЕАЭС;</w:t>
      </w:r>
    </w:p>
    <w:p>
      <w:pPr>
        <w:spacing w:after="60"/>
        <w:ind w:firstLine="567"/>
        <w:jc w:val="both"/>
      </w:pPr>
      <w:r>
        <w:rPr>
          <w:rFonts w:ascii="Arial" w:cs="Arial" w:eastAsia="Arial" w:hAnsi="Arial"/>
          <w:sz w:val="24"/>
          <w:szCs w:val="24"/>
        </w:rPr>
        <w:t xml:space="preserve">3) обоснование необходимости внесения изменений и/или дополнений в Перечень.</w:t>
      </w:r>
    </w:p>
    <w:p>
      <w:pPr>
        <w:spacing w:after="60"/>
        <w:ind w:firstLine="567"/>
        <w:jc w:val="both"/>
      </w:pPr>
      <w:r>
        <w:rPr>
          <w:rFonts w:ascii="Arial" w:cs="Arial" w:eastAsia="Arial" w:hAnsi="Arial"/>
          <w:sz w:val="24"/>
          <w:szCs w:val="24"/>
        </w:rPr>
        <w:t xml:space="preserve">25. Уполномоченный государственный орган в сфере антимонопольного регулирования принимает заявление либо отказывает в его приеме. Основанием для отказа в приеме заявления является отсутствие в заявлении информации, указанной в пункте 24 настоящего Порядка.</w:t>
      </w:r>
    </w:p>
    <w:p>
      <w:pPr>
        <w:spacing w:after="60"/>
        <w:ind w:firstLine="567"/>
        <w:jc w:val="both"/>
      </w:pPr>
      <w:r>
        <w:rPr>
          <w:rFonts w:ascii="Arial" w:cs="Arial" w:eastAsia="Arial" w:hAnsi="Arial"/>
          <w:sz w:val="24"/>
          <w:szCs w:val="24"/>
        </w:rPr>
        <w:t xml:space="preserve">26. В течение трех рабочих дней, следующих за днем приема заявления, уполномоченный государственный орган в сфере антимонопольного регулирования направляет соответствующее предложение о внесении изменений и/или дополнений в Перечень на согласование в адрес налогоплательщиков, бизнес-ассоциаций и государственных органов, указанных в пункте 9 настоящего Порядка, которые должны представить заключение в течение трех рабочих дней со дня поступления предложения о внесении изменений и/или дополнений в Перечень.</w:t>
      </w:r>
    </w:p>
    <w:p>
      <w:pPr>
        <w:spacing w:after="60"/>
        <w:ind w:firstLine="567"/>
        <w:jc w:val="both"/>
      </w:pPr>
      <w:r>
        <w:rPr>
          <w:rFonts w:ascii="Arial" w:cs="Arial" w:eastAsia="Arial" w:hAnsi="Arial"/>
          <w:sz w:val="24"/>
          <w:szCs w:val="24"/>
        </w:rPr>
        <w:t xml:space="preserve">27. На основании полученной по запросам информации уполномоченный государственный орган в сфере антимонопольного регулирования в течение трех рабочих дней со дня получения последнего письменного ответа издает приказ о внесении изменений и/или дополнений в Перечень.</w:t>
      </w:r>
    </w:p>
    <w:p>
      <w:pPr>
        <w:spacing w:after="60"/>
        <w:ind w:firstLine="567"/>
        <w:jc w:val="both"/>
      </w:pPr>
      <w:r>
        <w:rPr>
          <w:rFonts w:ascii="Arial" w:cs="Arial" w:eastAsia="Arial" w:hAnsi="Arial"/>
          <w:sz w:val="24"/>
          <w:szCs w:val="24"/>
        </w:rPr>
        <w:t xml:space="preserve">28. В случае наличия разногласий, уполномоченный государственный орган в сфере антимонопольного регулирования проводит согласительное совещание, по результатам которого принимается коллегиальное решение.</w:t>
      </w:r>
    </w:p>
    <w:p>
      <w:pPr>
        <w:spacing w:after="60"/>
        <w:ind w:firstLine="567"/>
        <w:jc w:val="both"/>
      </w:pPr>
      <w:r>
        <w:rPr>
          <w:rFonts w:ascii="Arial" w:cs="Arial" w:eastAsia="Arial" w:hAnsi="Arial"/>
          <w:sz w:val="24"/>
          <w:szCs w:val="24"/>
        </w:rPr>
        <w:t xml:space="preserve">29. В случае, если по результатам рассмотрения заявления не выявлена необходимость внесения изменений и/или дополнений в Перечень, уполномоченный государственный орган в сфере антимонопольного регулирования направляет мотивированный отказ заявителю.</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isgpu5xbiphrcyay2pis">
      <w:r>
        <w:rPr>
          <w:rFonts w:ascii="Arial" w:cs="Arial" w:eastAsia="Arial" w:hAnsi="Arial"/>
          <w:color w:val="132D3F"/>
          <w:sz w:val="16"/>
          <w:szCs w:val="16"/>
          <w:u w:val="single"/>
        </w:rPr>
        <w:t xml:space="preserve">dalil.kg/document/99459</w:t>
      </w:r>
    </w:hyperlink>
  </w:p>
  <w:p>
    <w:pPr>
      <w:spacing w:after="0" w:before="40"/>
      <w:jc w:val="center"/>
    </w:pPr>
    <w:hyperlink w:history="1" r:id="rIdvvnvxc3weqad5urzurdf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2pnkjnpjmwhar5z6sx2t" Type="http://schemas.openxmlformats.org/officeDocument/2006/relationships/hyperlink" Target="https://dalil.kg/document/9945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isgpu5xbiphrcyay2pis" Type="http://schemas.openxmlformats.org/officeDocument/2006/relationships/hyperlink" Target="https://dalil.kg/document/99459" TargetMode="External"/><Relationship Id="rIdvvnvxc3weqad5urzurdf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2026-10-04T19:46:05.195Z</dcterms:created>
  <dcterms:modified xsi:type="dcterms:W3CDTF">2026-10-04T19:46:05.195Z</dcterms:modified>
</cp:coreProperties>
</file>

<file path=docProps/custom.xml><?xml version="1.0" encoding="utf-8"?>
<Properties xmlns="http://schemas.openxmlformats.org/officeDocument/2006/custom-properties" xmlns:vt="http://schemas.openxmlformats.org/officeDocument/2006/docPropsVTypes"/>
</file>