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4"/>
          <w:szCs w:val="24"/>
        </w:rPr>
        <w:t xml:space="preserve">Утверждено </w:t>
      </w:r>
      <w:hyperlink w:history="1" r:id="rIduimoihqioma84ywdbaz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2016 года № 535</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w:t>
      </w:r>
    </w:p>
    <w:p>
      <w:pPr>
        <w:spacing w:after="200" w:before="200"/>
        <w:jc w:val="center"/>
      </w:pPr>
      <w:r>
        <w:rPr>
          <w:rFonts w:ascii="Arial" w:cs="Arial" w:eastAsia="Arial" w:hAnsi="Arial"/>
          <w:i/>
          <w:iCs/>
          <w:sz w:val="24"/>
          <w:szCs w:val="24"/>
        </w:rPr>
        <w:t xml:space="preserve">г.Бишкек, от 6 июня 2016 года</w:t>
      </w:r>
    </w:p>
    <w:p>
      <w:pPr>
        <w:spacing w:after="200"/>
        <w:jc w:val="center"/>
      </w:pPr>
      <w:r>
        <w:rPr>
          <w:rFonts w:ascii="Arial" w:cs="Arial" w:eastAsia="Arial" w:hAnsi="Arial"/>
          <w:i/>
          <w:iCs/>
          <w:sz w:val="24"/>
          <w:szCs w:val="24"/>
        </w:rPr>
        <w:t xml:space="preserve">(В редакции Протоколов от </w:t>
      </w:r>
      <w:hyperlink w:history="1" r:id="rId8wcemfkkgvb2eomlwe2ei">
        <w:r>
          <w:rPr>
            <w:rFonts w:ascii="Arial" w:cs="Arial" w:eastAsia="Arial" w:hAnsi="Arial"/>
            <w:i/>
            <w:iCs/>
            <w:color w:val="1D4ED8"/>
            <w:sz w:val="24"/>
            <w:szCs w:val="24"/>
            <w:u w:val="single"/>
          </w:rPr>
          <w:t xml:space="preserve">12 сентября 2017 года</w:t>
        </w:r>
      </w:hyperlink>
      <w:r>
        <w:rPr>
          <w:rFonts w:ascii="Arial" w:cs="Arial" w:eastAsia="Arial" w:hAnsi="Arial"/>
          <w:i/>
          <w:iCs/>
          <w:sz w:val="24"/>
          <w:szCs w:val="24"/>
        </w:rPr>
        <w:t xml:space="preserve">, </w:t>
      </w:r>
      <w:hyperlink w:history="1" r:id="rIdsdkx-knyg3wuxmqlqt15u">
        <w:r>
          <w:rPr>
            <w:rFonts w:ascii="Arial" w:cs="Arial" w:eastAsia="Arial" w:hAnsi="Arial"/>
            <w:i/>
            <w:iCs/>
            <w:color w:val="1D4ED8"/>
            <w:sz w:val="24"/>
            <w:szCs w:val="24"/>
            <w:u w:val="single"/>
          </w:rPr>
          <w:t xml:space="preserve">28 апреля 2018 года</w:t>
        </w:r>
      </w:hyperlink>
      <w:r>
        <w:rPr>
          <w:rFonts w:ascii="Arial" w:cs="Arial" w:eastAsia="Arial" w:hAnsi="Arial"/>
          <w:i/>
          <w:iCs/>
          <w:sz w:val="24"/>
          <w:szCs w:val="24"/>
        </w:rPr>
        <w:t xml:space="preserve">, </w:t>
      </w:r>
      <w:hyperlink w:history="1" r:id="rIdum2lzm6ucq4fgorrlfnzq">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далее именуемые "Стороны",</w:t>
      </w:r>
    </w:p>
    <w:p>
      <w:pPr>
        <w:spacing w:after="60"/>
        <w:ind w:firstLine="567"/>
        <w:jc w:val="both"/>
      </w:pPr>
      <w:r>
        <w:rPr>
          <w:rFonts w:ascii="Arial" w:cs="Arial" w:eastAsia="Arial" w:hAnsi="Arial"/>
          <w:sz w:val="24"/>
          <w:szCs w:val="24"/>
        </w:rPr>
        <w:t xml:space="preserve">принимая во внимание долгосрочные интересы двух государств в развитии стратегического сотрудничества, закрепленные в </w:t>
      </w:r>
      <w:hyperlink w:history="1" r:id="rId9sh1hnkhjq1whgwzcqerk">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 1992 г. и в </w:t>
      </w:r>
      <w:hyperlink w:history="1" r:id="rIdp7sfhi0ht-5akfrap4t00">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вечной дружбе, союзничестве и партнерстве между Кыргызской Республикой и Российской Федерацией от 27 июля 2000 г.,</w:t>
      </w:r>
    </w:p>
    <w:p>
      <w:pPr>
        <w:spacing w:after="60"/>
        <w:ind w:firstLine="567"/>
        <w:jc w:val="both"/>
      </w:pPr>
      <w:r>
        <w:rPr>
          <w:rFonts w:ascii="Arial" w:cs="Arial" w:eastAsia="Arial" w:hAnsi="Arial"/>
          <w:sz w:val="24"/>
          <w:szCs w:val="24"/>
        </w:rPr>
        <w:t xml:space="preserve">руководствуясь </w:t>
      </w:r>
      <w:r>
        <w:rPr>
          <w:rFonts w:ascii="Arial" w:cs="Arial" w:eastAsia="Arial" w:hAnsi="Arial"/>
          <w:sz w:val="24"/>
          <w:szCs w:val="24"/>
        </w:rPr>
        <w:t xml:space="preserve">Договором</w:t>
      </w:r>
      <w:r>
        <w:rPr>
          <w:rFonts w:ascii="Arial" w:cs="Arial" w:eastAsia="Arial" w:hAnsi="Arial"/>
          <w:sz w:val="24"/>
          <w:szCs w:val="24"/>
        </w:rPr>
        <w:t xml:space="preserve"> о зоне свободной торговли от 18 октября 2011 г.,</w:t>
      </w:r>
    </w:p>
    <w:p>
      <w:pPr>
        <w:spacing w:after="60"/>
        <w:ind w:firstLine="567"/>
        <w:jc w:val="both"/>
      </w:pPr>
      <w:r>
        <w:rPr>
          <w:rFonts w:ascii="Arial" w:cs="Arial" w:eastAsia="Arial" w:hAnsi="Arial"/>
          <w:sz w:val="24"/>
          <w:szCs w:val="24"/>
        </w:rPr>
        <w:t xml:space="preserve">исходя из заинтересованности в углублении взаимовыгодного сотрудничества в области поставок нефти и нефтепродуктов,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Целью настоящего Соглашения является определение условий сотрудничества Сторон в сфере поставок нефти и нефтепродуктов из Российской Федерации в Кыргызскую Республику.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Координацию деятельности по настоящему Соглашению и контроль за исполнением настоящего Соглашения осуществляют следующие компетентные органы:</w:t>
      </w:r>
    </w:p>
    <w:p>
      <w:pPr>
        <w:spacing w:after="60"/>
        <w:ind w:firstLine="567"/>
        <w:jc w:val="both"/>
      </w:pPr>
      <w:r>
        <w:rPr>
          <w:rFonts w:ascii="Arial" w:cs="Arial" w:eastAsia="Arial" w:hAnsi="Arial"/>
          <w:sz w:val="24"/>
          <w:szCs w:val="24"/>
        </w:rPr>
        <w:t xml:space="preserve">от Кыргызской Стороны - Министерство экономики Кыргызской Республики;</w:t>
      </w:r>
    </w:p>
    <w:p>
      <w:pPr>
        <w:spacing w:after="60"/>
        <w:ind w:firstLine="567"/>
        <w:jc w:val="both"/>
      </w:pPr>
      <w:r>
        <w:rPr>
          <w:rFonts w:ascii="Arial" w:cs="Arial" w:eastAsia="Arial" w:hAnsi="Arial"/>
          <w:sz w:val="24"/>
          <w:szCs w:val="24"/>
        </w:rPr>
        <w:t xml:space="preserve">от Российской Стороны - Министерство энергетики Российской Федерации.</w:t>
      </w:r>
    </w:p>
    <w:p>
      <w:pPr>
        <w:spacing w:after="60"/>
        <w:ind w:firstLine="567"/>
        <w:jc w:val="both"/>
      </w:pPr>
      <w:r>
        <w:rPr>
          <w:rFonts w:ascii="Arial" w:cs="Arial" w:eastAsia="Arial" w:hAnsi="Arial"/>
          <w:sz w:val="24"/>
          <w:szCs w:val="24"/>
        </w:rPr>
        <w:t xml:space="preserve">В случае изменения компетентных органов Стороны незамедлительно уведомляют об этом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Компетентные органы Сторон в 2017 году согласовывают объемы и номенклатуру внутреннего потребления в Кыргызской Республике нефти и нефтепродуктов (далее - товары) на 2017 год и утверждают по ним индикативные балансы на 2017 год.</w:t>
      </w:r>
    </w:p>
    <w:p>
      <w:pPr>
        <w:spacing w:after="60"/>
        <w:ind w:firstLine="567"/>
        <w:jc w:val="both"/>
      </w:pPr>
      <w:r>
        <w:rPr>
          <w:rFonts w:ascii="Arial" w:cs="Arial" w:eastAsia="Arial" w:hAnsi="Arial"/>
          <w:sz w:val="24"/>
          <w:szCs w:val="24"/>
        </w:rPr>
        <w:t xml:space="preserve">Объем и номенклатура внутреннего потребления товаров на последующие годы согласовываются компетентными органами Сторон до 1 октября текущего календарного года путем утверждения по ним индикативных балансов по нефтяному сырью (код единой Товарной номенклатуры внешнеэкономической деятельности Евразийского экономического союза (далее - ТН ВЭД ЕАЭС) 2709 00), бензину автомобильному (коды ТН ВЭД ЕАЭС 2710 12 411 0, 2710 12 412 0, 2710 12 413 0, из 2710 12 419 0, из 2710 12 450 0, из 2710 12 490 0), дизельному топливу (коды ТН ВЭД ЕАЭС 2710 19 421 0, 2710 19 422 0, 2710 19 423 0, 2710 19 424 0, 2710 19 425 0, из 2710 19 429 0, из 2710 19 460 0, из 2710 19 480 0), топливу для реактивных двигателей (код ТН ВЭД ЕАЭС 2710 19 210 0) (далее - индикативные балансы) и протокола по битуму нефтяному (код ТН ВЭД ЕАЭС 2713 20 000 0) с указанием физико-химических характеристик битума нефтяного в соответствии с пояснениями к субпозиции 2713 20 000 0 ТН ВЭД ЕАЭС на следующий календарный год, учитывающих рост экономики Кыргызской Республики (далее - протокол).</w:t>
      </w:r>
    </w:p>
    <w:p>
      <w:pPr>
        <w:spacing w:after="60"/>
        <w:ind w:firstLine="567"/>
        <w:jc w:val="both"/>
      </w:pPr>
      <w:r>
        <w:rPr>
          <w:rFonts w:ascii="Arial" w:cs="Arial" w:eastAsia="Arial" w:hAnsi="Arial"/>
          <w:sz w:val="24"/>
          <w:szCs w:val="24"/>
        </w:rPr>
        <w:t xml:space="preserve">При вывозе указанных товаров следует руководствоваться кодами ТН ВЭД ЕАЭС и наименованиями товаров.</w:t>
      </w:r>
    </w:p>
    <w:p>
      <w:pPr>
        <w:spacing w:after="60"/>
        <w:ind w:firstLine="567"/>
        <w:jc w:val="both"/>
      </w:pPr>
      <w:r>
        <w:rPr>
          <w:rFonts w:ascii="Arial" w:cs="Arial" w:eastAsia="Arial" w:hAnsi="Arial"/>
          <w:sz w:val="24"/>
          <w:szCs w:val="24"/>
        </w:rPr>
        <w:t xml:space="preserve">Уточнение индикативных балансов и протокола на каждый текущий календарный год может осуществляться до 15 августа текущего календарного года с учетом обоснованного изменения внутреннего потребления товаров на территории Кыргызской Республики.</w:t>
      </w:r>
    </w:p>
    <w:p>
      <w:pPr>
        <w:spacing w:after="60"/>
        <w:ind w:firstLine="567"/>
        <w:jc w:val="both"/>
      </w:pPr>
      <w:r>
        <w:rPr>
          <w:rFonts w:ascii="Arial" w:cs="Arial" w:eastAsia="Arial" w:hAnsi="Arial"/>
          <w:sz w:val="24"/>
          <w:szCs w:val="24"/>
        </w:rPr>
        <w:t xml:space="preserve">Кыргызская Сторона представляет Российской Стороне до 5 сентября текущего календарного года предложения по формированию индикативных балансов и протокола на следующий календарный год и до 15 ноября текущего календарного года информацию о выполнении индикативных балансов и протокола за 9 месяцев и об их ожидаемом выполнении за текущий календарный год в установленном порядке.</w:t>
      </w:r>
    </w:p>
    <w:p>
      <w:pPr>
        <w:spacing w:after="60"/>
        <w:ind w:firstLine="567"/>
        <w:jc w:val="both"/>
      </w:pPr>
      <w:r>
        <w:rPr>
          <w:rFonts w:ascii="Arial" w:cs="Arial" w:eastAsia="Arial" w:hAnsi="Arial"/>
          <w:sz w:val="24"/>
          <w:szCs w:val="24"/>
        </w:rPr>
        <w:t xml:space="preserve">Компетентные органы Сторон в 2019 году согласовывают объемы и номенклатуру внутреннего потребления в Кыргызской Республике битума нефтяного (код ТН ВЭД ЕАЭС 2713 20 000 0) на 2019 год и утверждают протокол на 2019 год с указанием физико-химических характеристик битума нефтяного в соответствии с пояснениями к субпозиции 2713 20 000 0 ТН ВЭД ЕАЭС, который применяется к правоотношениям, возникшим с даты его утверждения.</w:t>
      </w:r>
    </w:p>
    <w:p>
      <w:pPr>
        <w:spacing w:after="60"/>
        <w:ind w:firstLine="567"/>
        <w:jc w:val="both"/>
      </w:pPr>
      <w:r>
        <w:rPr>
          <w:rFonts w:ascii="Arial" w:cs="Arial" w:eastAsia="Arial" w:hAnsi="Arial"/>
          <w:i/>
          <w:iCs/>
          <w:sz w:val="24"/>
          <w:szCs w:val="24"/>
        </w:rPr>
        <w:t xml:space="preserve">(В редакции Протокола от </w:t>
      </w:r>
      <w:hyperlink w:history="1" r:id="rIdo4cq1vog1ki7oqp6zwfsd">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создают условия для осуществления хозяйствующими субъектами (резидентами) государств Сторон поставок товаров из Российской Федерации в Кыргызскую Республику.</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В отношении товаров, поставляемых из Российской Федерации в Кыргызскую Республику для внутреннего потребления в объемах, предусмотренных индикативными балансами и протоколом, Российская Сторона не взимает вывозные таможенные пошлины.</w:t>
      </w:r>
    </w:p>
    <w:p>
      <w:pPr>
        <w:spacing w:after="60"/>
        <w:ind w:firstLine="567"/>
        <w:jc w:val="both"/>
      </w:pPr>
      <w:r>
        <w:rPr>
          <w:rFonts w:ascii="Arial" w:cs="Arial" w:eastAsia="Arial" w:hAnsi="Arial"/>
          <w:sz w:val="24"/>
          <w:szCs w:val="24"/>
        </w:rPr>
        <w:t xml:space="preserve">2. В отношении товаров, вывозимых из Российской Федерации в Кыргызскую Республику в календарном году сверх объемов, предусмотренных индикативными балансами и протоколом, а также в отношении товаров, не предусмотренных индикативными балансами и протоколом, вывозные таможенные пошлины подлежат уплате в бюджет Российской Федерации в соответствии с законодательством Российской Федерации и международными договорами и актами в сфере таможенного регулирования,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3. Товары группы 27 единой Товарной номенклатуры внешнеэкономической детальности Евразийского экономического союза в целях учета подлежат таможенному декларированию в Российской Федерации, как если бы они вывозились за пределы таможенной территории Евразийского экономического союза, без применения временного периодического таможенного декларирования, установленного законодательством Российской Федерации, за исключением случая, предусмотренного пунктом 4 настоящей статьи.</w:t>
      </w:r>
    </w:p>
    <w:p>
      <w:pPr>
        <w:spacing w:after="60"/>
        <w:ind w:firstLine="567"/>
        <w:jc w:val="both"/>
      </w:pPr>
      <w:r>
        <w:rPr>
          <w:rFonts w:ascii="Arial" w:cs="Arial" w:eastAsia="Arial" w:hAnsi="Arial"/>
          <w:sz w:val="24"/>
          <w:szCs w:val="24"/>
        </w:rPr>
        <w:t xml:space="preserve">4. Временное периодическое таможенное декларирование применяется в 2019-2024 годах при вывозе из Российской Федерации в Кыргызскую Республику нефтепродуктов трубопроводным транспортом в соответствии с индикативными балансами на 2019-2024 годы.</w:t>
      </w:r>
    </w:p>
    <w:p>
      <w:pPr>
        <w:spacing w:after="60"/>
        <w:ind w:firstLine="567"/>
        <w:jc w:val="both"/>
      </w:pPr>
      <w:r>
        <w:rPr>
          <w:rFonts w:ascii="Arial" w:cs="Arial" w:eastAsia="Arial" w:hAnsi="Arial"/>
          <w:sz w:val="24"/>
          <w:szCs w:val="24"/>
        </w:rPr>
        <w:t xml:space="preserve">При подаче временной декларации на товары освобождение от уплаты вывозных таможенных пошлин применяется на момент выпуска временной декларации на товары, в отношении объема товаров, не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учет товаров осуществляется таможенными органами Российской Федерации исходя из объема товаров, указанного во временных декларациях на товары, в одном из следующих случаев:</w:t>
      </w:r>
    </w:p>
    <w:p>
      <w:pPr>
        <w:spacing w:after="60"/>
        <w:ind w:firstLine="567"/>
        <w:jc w:val="both"/>
      </w:pPr>
      <w:r>
        <w:rPr>
          <w:rFonts w:ascii="Arial" w:cs="Arial" w:eastAsia="Arial" w:hAnsi="Arial"/>
          <w:sz w:val="24"/>
          <w:szCs w:val="24"/>
        </w:rPr>
        <w:t xml:space="preserve">подача полной декларации на товары до 15 числа месяца поставки товаров, указанного во временной декларации на товары, если временная декларация на товары подана до 1 числа месяца поставки товаров;</w:t>
      </w:r>
    </w:p>
    <w:p>
      <w:pPr>
        <w:spacing w:after="60"/>
        <w:ind w:firstLine="567"/>
        <w:jc w:val="both"/>
      </w:pPr>
      <w:r>
        <w:rPr>
          <w:rFonts w:ascii="Arial" w:cs="Arial" w:eastAsia="Arial" w:hAnsi="Arial"/>
          <w:sz w:val="24"/>
          <w:szCs w:val="24"/>
        </w:rPr>
        <w:t xml:space="preserve">подача полной декларации на товары в течение 15 календарных дней с даты подачи временной декларации на товары, если она подана в месяце поставки товаров.</w:t>
      </w:r>
    </w:p>
    <w:p>
      <w:pPr>
        <w:spacing w:after="60"/>
        <w:ind w:firstLine="567"/>
        <w:jc w:val="both"/>
      </w:pPr>
      <w:r>
        <w:rPr>
          <w:rFonts w:ascii="Arial" w:cs="Arial" w:eastAsia="Arial" w:hAnsi="Arial"/>
          <w:sz w:val="24"/>
          <w:szCs w:val="24"/>
        </w:rPr>
        <w:t xml:space="preserve">В случае, если полная декларация на товары подана по истечении сроков, указанных в абзацах четвертом или пятом настоящего пункта, то в отношении объема товаров, превышающего в совокупности с накопленным объемом товаров, задекларированных без уплаты вывозных таможенных пошлин, объем товаров, указанный в индикативных балансах, уплате подлежат вывозные таможенные пошлины, а также пени, рассчитанные с даты регистрации временной декларации на товары до даты исполнения обязанности по уплате вывозных таможенных пошлин по полной декларации на товары.</w:t>
      </w:r>
    </w:p>
    <w:p>
      <w:pPr>
        <w:spacing w:after="60"/>
        <w:ind w:firstLine="567"/>
        <w:jc w:val="both"/>
      </w:pPr>
      <w:r>
        <w:rPr>
          <w:rFonts w:ascii="Arial" w:cs="Arial" w:eastAsia="Arial" w:hAnsi="Arial"/>
          <w:sz w:val="24"/>
          <w:szCs w:val="24"/>
        </w:rPr>
        <w:t xml:space="preserve">Для целей освобождения от уплаты вывозных таможенных пошлин подача временной декларации на товары с периодом поставки, превышающим 1 календарный месяц, не допускается.</w:t>
      </w:r>
    </w:p>
    <w:p>
      <w:pPr>
        <w:spacing w:after="60"/>
        <w:ind w:firstLine="567"/>
        <w:jc w:val="both"/>
      </w:pPr>
      <w:r>
        <w:rPr>
          <w:rFonts w:ascii="Arial" w:cs="Arial" w:eastAsia="Arial" w:hAnsi="Arial"/>
          <w:sz w:val="24"/>
          <w:szCs w:val="24"/>
        </w:rPr>
        <w:t xml:space="preserve">5. Временные таможенные декларации на товары, поданные в целях вывоза товаров группы 27 единой Товарной номенклатуры внешнеэкономической деятельности Евразийского экономического союза из Российской Федерации в Кыргызскую Республику в соответствии с индикативными балансами на 2018 год, фактический вывоз из Российской Федерации в Кыргызскую Республику по которым не был произведен, считаются неподанными, за исключением случая, предусмотренного пунктом 4 настоящей статьи.</w:t>
      </w:r>
    </w:p>
    <w:p>
      <w:pPr>
        <w:spacing w:after="60"/>
        <w:ind w:firstLine="567"/>
        <w:jc w:val="both"/>
      </w:pPr>
      <w:r>
        <w:rPr>
          <w:rFonts w:ascii="Arial" w:cs="Arial" w:eastAsia="Arial" w:hAnsi="Arial"/>
          <w:i/>
          <w:iCs/>
          <w:sz w:val="24"/>
          <w:szCs w:val="24"/>
        </w:rPr>
        <w:t xml:space="preserve">(В редакции Протоколов от </w:t>
      </w:r>
      <w:hyperlink w:history="1" r:id="rId-yranzgwisxz2hvdj_y6p">
        <w:r>
          <w:rPr>
            <w:rFonts w:ascii="Arial" w:cs="Arial" w:eastAsia="Arial" w:hAnsi="Arial"/>
            <w:i/>
            <w:iCs/>
            <w:color w:val="1D4ED8"/>
            <w:sz w:val="24"/>
            <w:szCs w:val="24"/>
            <w:u w:val="single"/>
          </w:rPr>
          <w:t xml:space="preserve">28 апреля 2018 года</w:t>
        </w:r>
      </w:hyperlink>
      <w:r>
        <w:rPr>
          <w:rFonts w:ascii="Arial" w:cs="Arial" w:eastAsia="Arial" w:hAnsi="Arial"/>
          <w:i/>
          <w:iCs/>
          <w:sz w:val="24"/>
          <w:szCs w:val="24"/>
        </w:rPr>
        <w:t xml:space="preserve">, </w:t>
      </w:r>
      <w:hyperlink w:history="1" r:id="rIdavplronyt5kho5hx-sorg">
        <w:r>
          <w:rPr>
            <w:rFonts w:ascii="Arial" w:cs="Arial" w:eastAsia="Arial" w:hAnsi="Arial"/>
            <w:i/>
            <w:iCs/>
            <w:color w:val="1D4ED8"/>
            <w:sz w:val="24"/>
            <w:szCs w:val="24"/>
            <w:u w:val="single"/>
          </w:rPr>
          <w:t xml:space="preserve">28 марта 2019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Товары, поставляемые из Российской Федерации в Кыргызскую Республику, в соответствии с настоящим Соглашением без взимания вывозных таможенных пошлин в Российской Федерации, не подлежат реэкспорту в третьи страны.</w:t>
      </w:r>
    </w:p>
    <w:p>
      <w:pPr>
        <w:spacing w:after="60"/>
        <w:ind w:firstLine="567"/>
        <w:jc w:val="both"/>
      </w:pPr>
      <w:r>
        <w:rPr>
          <w:rFonts w:ascii="Arial" w:cs="Arial" w:eastAsia="Arial" w:hAnsi="Arial"/>
          <w:sz w:val="24"/>
          <w:szCs w:val="24"/>
        </w:rPr>
        <w:t xml:space="preserve">Компетентные органы Сторон до 31 декабря текущего календарного года проводят сопоставление статистики взаимной торговли Кыргызской Республики с Российской Федерацией и третьими странами в отношении данных статистики об экспорте (импорте) товаров.</w:t>
      </w:r>
    </w:p>
    <w:p>
      <w:pPr>
        <w:spacing w:after="60"/>
        <w:ind w:firstLine="567"/>
        <w:jc w:val="both"/>
      </w:pPr>
      <w:r>
        <w:rPr>
          <w:rFonts w:ascii="Arial" w:cs="Arial" w:eastAsia="Arial" w:hAnsi="Arial"/>
          <w:sz w:val="24"/>
          <w:szCs w:val="24"/>
        </w:rPr>
        <w:t xml:space="preserve">2. Запрет на реэкспорт, предусмотренный настоящей статьей, распространяется на товары, страной происхождения которых является Российская Федерация, ввозимые в Кыргызскую Республику из других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3. Товары, реэкспортируемые в Кыргызскую Республику с территорий государств - членов Евразийского экономического союза, в которые указанные товары ранее были вывезены из Российской Федерации без взимания вывозных таможенных пошлин, в рамках настоящего Соглашения признаются товарами, поставляемыми в Кыргызскую Республику с территории Российской Федерации без взимания вывозных таможенных пошлин.</w:t>
      </w:r>
    </w:p>
    <w:p>
      <w:pPr>
        <w:spacing w:after="60"/>
        <w:ind w:firstLine="567"/>
        <w:jc w:val="both"/>
      </w:pPr>
      <w:r>
        <w:rPr>
          <w:rFonts w:ascii="Arial" w:cs="Arial" w:eastAsia="Arial" w:hAnsi="Arial"/>
          <w:sz w:val="24"/>
          <w:szCs w:val="24"/>
        </w:rPr>
        <w:t xml:space="preserve">4. В случае установления Российской Стороной факта нарушения запрета на реэкспорт, предусмотренного настоящей статьей, Стороны и их компетентные органы проводят согласительные процедуры, предусмотренные </w:t>
      </w:r>
      <w:hyperlink w:history="1" r:id="rIdj1p5ykk-n-ptabqhyvo8u">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Соглашения.</w:t>
      </w:r>
    </w:p>
    <w:p>
      <w:pPr>
        <w:spacing w:after="60"/>
        <w:ind w:firstLine="567"/>
        <w:jc w:val="both"/>
      </w:pPr>
      <w:r>
        <w:rPr>
          <w:rFonts w:ascii="Arial" w:cs="Arial" w:eastAsia="Arial" w:hAnsi="Arial"/>
          <w:sz w:val="24"/>
          <w:szCs w:val="24"/>
        </w:rPr>
        <w:t xml:space="preserve">Если в ходе таких процедур Стороны не достигнут взаимоприемлемых договоренностей в течение 2 месяцев с даты направления Российской Стороной Кыргызской Стороне по дипломатическим каналам первого письменного уведомления о выявлении факта реэкспорта, Российская Сторона оставляет за собой право приостановить беспошлинные поставки товаров в Кыргызскую Республику, предусмотренные пунктом 1 </w:t>
      </w:r>
      <w:hyperlink w:history="1" r:id="rIdd25c5wijisitwst2kalgb">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 даты вступления в силу настоящего Соглашения Стороны в отношениях между собой применяют к инвестициям, осуществляемым в рамках реализации настоящего Соглашения, положения Протокола о торговле услугами, учреждении, деятельности и осуществлении инвестиций (</w:t>
      </w:r>
      <w:r>
        <w:rPr>
          <w:rFonts w:ascii="Arial" w:cs="Arial" w:eastAsia="Arial" w:hAnsi="Arial"/>
          <w:sz w:val="24"/>
          <w:szCs w:val="24"/>
        </w:rPr>
        <w:t xml:space="preserve">приложение № 16</w:t>
      </w:r>
      <w:r>
        <w:rPr>
          <w:rFonts w:ascii="Arial" w:cs="Arial" w:eastAsia="Arial" w:hAnsi="Arial"/>
          <w:sz w:val="24"/>
          <w:szCs w:val="24"/>
        </w:rPr>
        <w:t xml:space="preserve"> к Договору о Евразийском экономическом союзе от 29 мая 2014 г.).</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целях осуществления контроля за выполнением настоящего Соглашения компетентные органы Сторон не позднее 2 месяцев с даты вступления в силу настоящего Соглашения согласовывают порядок информационного обмена между собой, предусматривающий, в частности, ежеквартальное предоставление компетентными органами Сторон друг другу информации об объемах ввоза, вывоза, производства и внутреннего потребления товаров в Кыргызской Республике.</w:t>
      </w:r>
    </w:p>
    <w:p>
      <w:pPr>
        <w:spacing w:after="60"/>
        <w:ind w:firstLine="567"/>
        <w:jc w:val="both"/>
      </w:pPr>
      <w:r>
        <w:rPr>
          <w:rFonts w:ascii="Arial" w:cs="Arial" w:eastAsia="Arial" w:hAnsi="Arial"/>
          <w:sz w:val="24"/>
          <w:szCs w:val="24"/>
        </w:rPr>
        <w:t xml:space="preserve">2. Стороны через свои компетентные органы осуществляют своевременный обмен информацией, в том числе в отношении нормативных правовых актов своих государств, относящихся к деятельности, осуществляемой в рамках выполнения настоящего Соглашения.</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 случае возникновения обстоятельств, создающих препятствия для выполнения одной из Сторон обязательств по настоящему Соглашению, компетентные органы государств Сторон проводят соответствующие консультации в целях принятия взаимоприемлемых решений по преодолению возникших препятствий и обеспечению выполнения настоящего Соглашения.</w:t>
      </w:r>
    </w:p>
    <w:p>
      <w:pPr>
        <w:spacing w:after="60"/>
        <w:ind w:firstLine="567"/>
        <w:jc w:val="both"/>
      </w:pPr>
      <w:r>
        <w:rPr>
          <w:rFonts w:ascii="Arial" w:cs="Arial" w:eastAsia="Arial" w:hAnsi="Arial"/>
          <w:sz w:val="24"/>
          <w:szCs w:val="24"/>
        </w:rPr>
        <w:t xml:space="preserve">Разногласия между Сторонами в толковании и (или) применении положений настоящего Соглашения, которые не могут быть устранены путем консультаций между компетентными органами, разрешаются путем переговоров между Сторонами.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которые оформляются отдельными протоколами.</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2. Каждая из Сторон вправе прекратить действие настоящего Соглашения путем направления соответствующего письменного уведомления другой Стороне. В таком случае действие настоящего Соглашения прекращается по истечении 6 месяцев с даты получения такого уведомления.</w:t>
      </w:r>
    </w:p>
    <w:p>
      <w:pPr>
        <w:spacing w:after="60"/>
        <w:ind w:firstLine="567"/>
        <w:jc w:val="both"/>
      </w:pPr>
      <w:r>
        <w:rPr>
          <w:rFonts w:ascii="Arial" w:cs="Arial" w:eastAsia="Arial" w:hAnsi="Arial"/>
          <w:sz w:val="24"/>
          <w:szCs w:val="24"/>
        </w:rPr>
        <w:t xml:space="preserve">3. Прекращение действия настоящего Соглашения не затрагивает выполнение обязательств, предусмотренных договорами (контрактами), заключенными в рамках настоящего Соглашения в период его действия.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г.Бишкеке 6 июня 2016 г.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В случае возникновения разногласий в толковании положений настоящего Соглашения за основу принимается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jybod4j36tbmjr63cbc">
      <w:r>
        <w:rPr>
          <w:rFonts w:ascii="Arial" w:cs="Arial" w:eastAsia="Arial" w:hAnsi="Arial"/>
          <w:color w:val="132D3F"/>
          <w:sz w:val="16"/>
          <w:szCs w:val="16"/>
          <w:u w:val="single"/>
        </w:rPr>
        <w:t xml:space="preserve">dalil.kg/document/99472</w:t>
      </w:r>
    </w:hyperlink>
  </w:p>
  <w:p>
    <w:pPr>
      <w:spacing w:after="0" w:before="40"/>
      <w:jc w:val="center"/>
    </w:pPr>
    <w:hyperlink w:history="1" r:id="rIdgl7lei1fnu1ppzodk8h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moihqioma84ywdbazjs" Type="http://schemas.openxmlformats.org/officeDocument/2006/relationships/hyperlink" Target="https://dalil.kg/document/99471" TargetMode="External"/><Relationship Id="rId8wcemfkkgvb2eomlwe2ei" Type="http://schemas.openxmlformats.org/officeDocument/2006/relationships/hyperlink" Target="https://dalil.kg/document/11652" TargetMode="External"/><Relationship Id="rIdsdkx-knyg3wuxmqlqt15u" Type="http://schemas.openxmlformats.org/officeDocument/2006/relationships/hyperlink" Target="https://dalil.kg/document/12777" TargetMode="External"/><Relationship Id="rIdum2lzm6ucq4fgorrlfnzq" Type="http://schemas.openxmlformats.org/officeDocument/2006/relationships/hyperlink" Target="https://dalil.kg/document/157126" TargetMode="External"/><Relationship Id="rId9sh1hnkhjq1whgwzcqerk" Type="http://schemas.openxmlformats.org/officeDocument/2006/relationships/hyperlink" Target="https://dalil.kg/document/17122" TargetMode="External"/><Relationship Id="rIdp7sfhi0ht-5akfrap4t00" Type="http://schemas.openxmlformats.org/officeDocument/2006/relationships/hyperlink" Target="https://dalil.kg/document/17525" TargetMode="External"/><Relationship Id="rIdo4cq1vog1ki7oqp6zwfsd" Type="http://schemas.openxmlformats.org/officeDocument/2006/relationships/hyperlink" Target="https://dalil.kg/document/157126" TargetMode="External"/><Relationship Id="rId-yranzgwisxz2hvdj_y6p" Type="http://schemas.openxmlformats.org/officeDocument/2006/relationships/hyperlink" Target="https://dalil.kg/document/12777" TargetMode="External"/><Relationship Id="rIdavplronyt5kho5hx-sorg" Type="http://schemas.openxmlformats.org/officeDocument/2006/relationships/hyperlink" Target="https://dalil.kg/document/157126" TargetMode="External"/><Relationship Id="rIdj1p5ykk-n-ptabqhyvo8u" Type="http://schemas.openxmlformats.org/officeDocument/2006/relationships/hyperlink" Target="https://dalil.kg/document/99472#st_9" TargetMode="External"/><Relationship Id="rIdd25c5wijisitwst2kalgb" Type="http://schemas.openxmlformats.org/officeDocument/2006/relationships/hyperlink" Target="https://dalil.kg/document/99472#st_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jybod4j36tbmjr63cbc" Type="http://schemas.openxmlformats.org/officeDocument/2006/relationships/hyperlink" Target="https://dalil.kg/document/99472" TargetMode="External"/><Relationship Id="rIdgl7lei1fnu1ppzodk8h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2026-10-01T13:18:14.023Z</dcterms:created>
  <dcterms:modified xsi:type="dcterms:W3CDTF">2026-10-01T13:18:14.023Z</dcterms:modified>
</cp:coreProperties>
</file>

<file path=docProps/custom.xml><?xml version="1.0" encoding="utf-8"?>
<Properties xmlns="http://schemas.openxmlformats.org/officeDocument/2006/custom-properties" xmlns:vt="http://schemas.openxmlformats.org/officeDocument/2006/docPropsVTypes"/>
</file>