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kfdfdeedplntblbjvl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марта 2017 года № 185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видах, условиях выпуска и обращения производных ценных бумаг, а также требованиях к их базовому активу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035_z1exkuzmpzcpqv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видах, условиях выпуска и обращения производных ценных бумаг, а также требованиях к их базовому активу в Кыргызской Республике (далее - Положение) устанавливает основные виды производных ценных бумаг, условия их выпуска и обращения, а также требования к их базовому активу.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r_bunu3nb5x07rsgza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ot9o7sphiypzub5izzv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377 внесены изменения в текст преамубулы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актив</w:t>
      </w:r>
      <w:r>
        <w:rPr>
          <w:rFonts w:ascii="Arial" w:cs="Arial" w:eastAsia="Arial" w:hAnsi="Arial"/>
          <w:sz w:val="24"/>
          <w:szCs w:val="24"/>
        </w:rPr>
        <w:t xml:space="preserve"> - стандартизованные партии товаров, ценные бумаги, валюта и финансовые инструменты;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варрант</w:t>
      </w:r>
      <w:r>
        <w:rPr>
          <w:rFonts w:ascii="Arial" w:cs="Arial" w:eastAsia="Arial" w:hAnsi="Arial"/>
          <w:sz w:val="24"/>
          <w:szCs w:val="24"/>
        </w:rPr>
        <w:t xml:space="preserve"> - ценная бумага, дающая право на покупку других ценных бумаг при их первичном размещении по определенной цене и продаваемая эмитентом этих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двойных и простых складских свидетельств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выпущенных (выданных) простых и двойных складских свидетельствах и их держателях, об операциях с ними, который ведет уполномоченный государственный орган в сфере регулирования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опцион</w:t>
      </w:r>
      <w:r>
        <w:rPr>
          <w:rFonts w:ascii="Arial" w:cs="Arial" w:eastAsia="Arial" w:hAnsi="Arial"/>
          <w:sz w:val="24"/>
          <w:szCs w:val="24"/>
        </w:rPr>
        <w:t xml:space="preserve"> - контракт, по которому одна из сторон приобретает право на покупку (колл) или продажу (пут) определенного базового актива по фиксированной цене, действующей в течение всего указанного в контракте срока, а другая сторона обязуется обеспечить осуществление этого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складских свидетельств</w:t>
      </w:r>
      <w:r>
        <w:rPr>
          <w:rFonts w:ascii="Arial" w:cs="Arial" w:eastAsia="Arial" w:hAnsi="Arial"/>
          <w:sz w:val="24"/>
          <w:szCs w:val="24"/>
        </w:rPr>
        <w:t xml:space="preserve"> - перечень сведений об операциях со складскими свидетельствами, включая выдачу, погашение, замену простых и двойных складских свидетельств, а также находящихся в залоге двойных складских свидетельств, который ведет товарный склад;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складские свидетельства</w:t>
      </w:r>
      <w:r>
        <w:rPr>
          <w:rFonts w:ascii="Arial" w:cs="Arial" w:eastAsia="Arial" w:hAnsi="Arial"/>
          <w:sz w:val="24"/>
          <w:szCs w:val="24"/>
        </w:rPr>
        <w:t xml:space="preserve"> - ценные бумаги, являющиеся товарораспорядительными документами, выпускаемые (выдаваемые) товарным складом в случаях, предусмотренных </w:t>
      </w:r>
      <w:hyperlink w:history="1" r:id="rId9lmmgh4h4luo8epr7n1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товарный склад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складское хранение продукции с выпуском (выдачей) простых и двойных складских свидетельств и предоставляющее связанные с хранением услуги на 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форвард</w:t>
      </w:r>
      <w:r>
        <w:rPr>
          <w:rFonts w:ascii="Arial" w:cs="Arial" w:eastAsia="Arial" w:hAnsi="Arial"/>
          <w:sz w:val="24"/>
          <w:szCs w:val="24"/>
        </w:rPr>
        <w:t xml:space="preserve"> - контракт о купле и продаже реального товара с отсроченным сроком его поставки;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фьючерс</w:t>
      </w:r>
      <w:r>
        <w:rPr>
          <w:rFonts w:ascii="Arial" w:cs="Arial" w:eastAsia="Arial" w:hAnsi="Arial"/>
          <w:sz w:val="24"/>
          <w:szCs w:val="24"/>
        </w:rPr>
        <w:t xml:space="preserve"> - контракт на покупку или продажу базового актива в день, установленный контрактом, по фиксированной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ac7maakqivvytnov4p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сделок с производными ценными бумагами, отнесенными к эмиссионным ценным бумагам, и подтверждение прав по ним, осуществляются в соответствии с </w:t>
      </w:r>
      <w:hyperlink w:history="1" r:id="rIdks1mk8khgvumtrudf5c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утвержденными </w:t>
      </w:r>
      <w:hyperlink w:history="1" r:id="rIdwhjwupgor_lkbmlizq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2011 года № 647.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торгов, порядок взаиморасчетов, обеспечение финансовых гарантий производных ценных бумаг в виде контрактов определяются в соответствии с Правилами биржевой торговли с ценными бумагами, утвержденными фондовой биржей, после согласования их с уполномоченным государственным органом по регулированию рынка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виды, характеристики и реквизиты производных ценных бумаг, а также требования к их базовому активу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производным ценным бумагам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варранты;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опционы;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фьючерсы;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форварды;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складские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u1j_isesohxmhzsvxa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plplx4z-ohqkr4tvck5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377 внесены изменения в текст пункта 4 на государственном языке.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Производные ценные бумаги могут выпускаться в виде ценных бумаг при соответствии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эмитентом является лицо, имеющее обязательства по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 осуществляется в виде удостоверяющих права документов, с переходом которых переходит право, удостоверенное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 контракты одного выпуска содержат одинаковые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выпуск ценных бумаг прошел государственную регистрацию в соответствии с законом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 производных ценных бумаг определяется эмитентом при принятии решения об их выпуске и отражается в условиях выпуска производных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Варрант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"варрант";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номер выпуска варранта;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базовый актив (акции, облигации);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цена покупки (продажи) базового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цена продажи (реализации) варранта;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варранта;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реквизиты покупателя и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Опцион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опциона - опцион на покупку (колл) или опцион на продажу (пут);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базовый актив (акции, облигации, валюта, товары, депозитные сертификаты);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опциона - дата исполнения обязательств по опциону;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цена исполнения опциона (цена страйк, установленная в контракте цена, по которой лицо, купившее опцион, имеет в дальнейшем право купить (продать) базовый актив);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цена опциона (премия, выплачиваемая покупателем продавцу в размере, предусмотренном опционным контрактом);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реквизиты продавца (эмитента) опциона.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Фьючерс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"фьючерс";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базовый актив (товар, ценные бумаги, валюта);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цена покупки (продажи) базового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исполнения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продавца (эмитента) фьючерса.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Форвард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"форвард";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базовый актив (ценные бумаги и товар, объем поставки);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цена покупки (продажи) базового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исполнения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покупателя и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Простое складское свидетельство является неэмиссионной ценной бумагой и выдается на предъявителя.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fr2gfxtdakscfstofl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fgxz7-rxy12_ko4w_ab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377 внесены изменения в текст пункта 11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Двойное складское свидетельство является неэмиссионной ценной бумагой, состоит из двух частей - складского свидетельства и залогового свидетельства, которые могут быть отделены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6pvtbckedifrkecbn-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okhqr_beh-xhtxbwfqt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377 внесены изменения в текст пункта 12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Простое складское свидетельство и двойное складское свидетельство должны содержать сведения (реквизиты) согласно Гражданскому </w:t>
      </w:r>
      <w:hyperlink w:history="1" r:id="rIdji8crzow4gzcrljmuox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a7nench-apibjrdzvx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Выпуск производных эмиссионных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Эмиссия производных эмиссионных ценных бумаг осуществляется в соответствии с законом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Производные эмиссионные ценные бумаги могут публично предлагаться только после регистрации условий публичного предложения и проспекта эмиссии по производным эмиссионным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Эмитент производных эмиссионных ценных бумаг при государственной регистрации производных эмиссионных ценных бумаг и итогов их выпуска представляет документы, предусмотренные законом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для государственной регистрации утверждается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Принятие решения о выпуске производных эмиссионных ценных бумаг осуществляется органом управления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выпуске производных эмиссионных ценных бумаг должно содержать следующую краткую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официальное наименование эмитента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производных эмиссионных ценных бумаг (дата начала и дата окончания размещения производных эмиссионных ценных бумаг, способ размещения (открытая или закрытая продажа), цена (премия) размещения производных эмиссионных ценных бумаг или метод ее определения, порядок и срок оплаты производных эмиссионных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(категория), количество, дата и номер государственной регистрации акций или облигаций, подлежащих продаже по производным эмиссионным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исполнения производных эмиссионных ценных бумаг. Цена исполнения производных эмиссионных ценных бумаг может устанавливаться эмитентом в зависимости от даты продажи производных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обращения производных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эмитента обеспечить права владельца при соблюдении владельцем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общего количества производных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ознакомления с проспектом эмиссии;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продажи производных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указываемые по решению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Опционы, выпускаемые в виде ценных бумаг, могут представлять собой опционы эмитента. Опционы эмитента выпускаются в отношении акций самого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Опционы эмитента могут размещаться путем открытой либо закрытой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Эмитент вправе размещать опционы эмитента, предоставляющие право на приобретение: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акций, не превышающих количества выкупленных на баланс акций собственного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облигаций, не превышающих количества облигаций, зарегистрированных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Моментом исполнения прав владельца опциона эмитента является заключение договора купли-продажи акций или облигаций, составляющих базовый актив опциона эмитента. При этом опцион эмитента подлежит погашению.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Выпуск фьючерсов по впервые выпускаемым ценным бумагам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Условиями выпуска фьючерса (в виде ценной бумаги) может быть предусмотрено право владельца ценной бумаги требовать выплаты положительной разницы в курсах базового актива вместо поставки базового актива, а равно право эмитента на выплату положительной разницы вместо поставки базового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исполнения обязательства, выраженного фьючерсом, не должен наступать позже срока истечения базового актива фьючерсного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исполнения фьючерса исчисляется со дня заключения (подписания) фьючерсного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 форварда, выпускаемого в качестве ценной бумаги, предусматривают обязательство эмитента по поставке базового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регистрации отчета об итогах публичного предложения в уполномоченном государственном органе по регулированию рынка ценных бумаг эмитент производных эмиссионных ценных бумаг обязан опубликовать его в течение 5 рабочих дней в средствах массовой информации, где была опубликована краткая информация об эмиссии производных эмиссионных ценных бумаг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Складские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Товарные склады самостоятельно ведут реестр складских свидетельств в порядке, предусмотренном законодательством о товарных складах и складских свидетельствах.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9hynuz8rweqormufxb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Записи в реестре складских свидетельств ведутся на бумажных и/или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bolxwht9r9-p8fbcfq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товарным складам бланков складских свидетельств и их учет осуществляются уполномоченным государственным органом в сфере регулирования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регулирования рынка ценных бумаг формируется Единый государственный реестр двойных и простых складских свидетельств. Порядок его ведения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8gdchrxh-alc47wbev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Бланки складских свидетельств являются документами строгого учета. Бланки должны обладать защитными знаками. Номера бланков обеих частей двойного складского свидетельства должны быть идентичны.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двойных и простых складских свидетельств изготавливаются по форме, утверждаемой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ib2chn0dus3qzugvy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Заключение срочных контрактов, не являющихся ценными бумагами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Публичное размещение контрактов, не являющихся ценными бумагами,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Условия внебиржевых опционных, форвардных и фьючерсных контрактов, не являющихся ценными бумагами, определяются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Условия заключаемых на фондовой и товарной бирже опционных, форвардных и фьючерсных контрактов, не являющихся ценными бумагами, определяются биржей, с присвоением контракту уникального номера в торговой системе биржи. В течение 15 календарных дней с даты введения в торговую систему биржи нового контракта биржа в письменном виде уведомляет об этом уполномоченный государственный орган по регулированию рынка ценных бумаг, путем направления текста основных условий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xcgtawnul3kjrbyvm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dalil.kg/document/99859</w:t>
      </w:r>
    </w:hyperlink>
  </w:p>
  <w:p>
    <w:pPr>
      <w:spacing w:after="0" w:before="40"/>
      <w:jc w:val="center"/>
    </w:pPr>
    <w:hyperlink w:history="1" r:id="rIdrck3msvo_whg85fuvtq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fdfdeedplntblbjvlq5" Type="http://schemas.openxmlformats.org/officeDocument/2006/relationships/hyperlink" Target="https://dalil.kg/document/99858" TargetMode="External"/><Relationship Id="rIdw035_z1exkuzmpzcpqvep" Type="http://schemas.openxmlformats.org/officeDocument/2006/relationships/hyperlink" Target="https://dalil.kg/document/14984" TargetMode="External"/><Relationship Id="rIdfr_bunu3nb5x07rsgzawe" Type="http://schemas.openxmlformats.org/officeDocument/2006/relationships/hyperlink" Target="https://dalil.kg/document/14984" TargetMode="External"/><Relationship Id="rIdot9o7sphiypzub5izzv6k" Type="http://schemas.openxmlformats.org/officeDocument/2006/relationships/hyperlink" Target="https://dalil.kg/document/14984" TargetMode="External"/><Relationship Id="rId9lmmgh4h4luo8epr7n173" Type="http://schemas.openxmlformats.org/officeDocument/2006/relationships/hyperlink" Target="https://dalil.kg/document/111772" TargetMode="External"/><Relationship Id="rId2ac7maakqivvytnov4pgz" Type="http://schemas.openxmlformats.org/officeDocument/2006/relationships/hyperlink" Target="https://dalil.kg/document/14984" TargetMode="External"/><Relationship Id="rIdks1mk8khgvumtrudf5c0b" Type="http://schemas.openxmlformats.org/officeDocument/2006/relationships/hyperlink" Target="https://dalil.kg/document/92870#p1" TargetMode="External"/><Relationship Id="rIdwhjwupgor_lkbmlizqpoc" Type="http://schemas.openxmlformats.org/officeDocument/2006/relationships/hyperlink" Target="https://dalil.kg/document/92870" TargetMode="External"/><Relationship Id="rIdfu1j_isesohxmhzsvxazb" Type="http://schemas.openxmlformats.org/officeDocument/2006/relationships/hyperlink" Target="https://dalil.kg/document/14984" TargetMode="External"/><Relationship Id="rIdplplx4z-ohqkr4tvck5wv" Type="http://schemas.openxmlformats.org/officeDocument/2006/relationships/hyperlink" Target="https://dalil.kg/document/14984" TargetMode="External"/><Relationship Id="rIdafr2gfxtdakscfstoflfv" Type="http://schemas.openxmlformats.org/officeDocument/2006/relationships/hyperlink" Target="https://dalil.kg/document/14984" TargetMode="External"/><Relationship Id="rIdfgxz7-rxy12_ko4w_abet" Type="http://schemas.openxmlformats.org/officeDocument/2006/relationships/hyperlink" Target="https://dalil.kg/document/14984" TargetMode="External"/><Relationship Id="rIdy6pvtbckedifrkecbn-08" Type="http://schemas.openxmlformats.org/officeDocument/2006/relationships/hyperlink" Target="https://dalil.kg/document/14984" TargetMode="External"/><Relationship Id="rIdokhqr_beh-xhtxbwfqtn6" Type="http://schemas.openxmlformats.org/officeDocument/2006/relationships/hyperlink" Target="https://dalil.kg/document/14984" TargetMode="External"/><Relationship Id="rIdji8crzow4gzcrljmuox9p" Type="http://schemas.openxmlformats.org/officeDocument/2006/relationships/hyperlink" Target="https://dalil.kg/document/4" TargetMode="External"/><Relationship Id="rIdxa7nench-apibjrdzvxic" Type="http://schemas.openxmlformats.org/officeDocument/2006/relationships/hyperlink" Target="https://dalil.kg/document/14984" TargetMode="External"/><Relationship Id="rId19hynuz8rweqormufxbiv" Type="http://schemas.openxmlformats.org/officeDocument/2006/relationships/hyperlink" Target="https://dalil.kg/document/14984" TargetMode="External"/><Relationship Id="rIdnbolxwht9r9-p8fbcfqkh" Type="http://schemas.openxmlformats.org/officeDocument/2006/relationships/hyperlink" Target="https://dalil.kg/document/14984" TargetMode="External"/><Relationship Id="rIdm8gdchrxh-alc47wbevn7" Type="http://schemas.openxmlformats.org/officeDocument/2006/relationships/hyperlink" Target="https://dalil.kg/document/14984" TargetMode="External"/><Relationship Id="rIdyaib2chn0dus3qzugvyne" Type="http://schemas.openxmlformats.org/officeDocument/2006/relationships/hyperlink" Target="https://dalil.kg/document/1498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xcgtawnul3kjrbyvmwe" Type="http://schemas.openxmlformats.org/officeDocument/2006/relationships/hyperlink" Target="https://dalil.kg/document/99859" TargetMode="External"/><Relationship Id="rIdrck3msvo_whg85fuvtq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2026-09-24T21:27:54.775Z</dcterms:created>
  <dcterms:modified xsi:type="dcterms:W3CDTF">2026-09-24T21:27:54.775Z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